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440118-2025-03264</w:t>
      </w:r>
    </w:p>
    <w:p>
      <w:pPr>
        <w:pStyle w:val="null3"/>
        <w:jc w:val="center"/>
        <w:outlineLvl w:val="3"/>
      </w:pPr>
      <w:r>
        <w:rPr>
          <w:sz w:val="24"/>
          <w:b/>
        </w:rPr>
        <w:t>采购项目编号：</w:t>
      </w:r>
      <w:r>
        <w:rPr>
          <w:sz w:val="24"/>
          <w:b/>
        </w:rPr>
        <w:t>GZCQC2500FG06013</w:t>
      </w:r>
    </w:p>
    <w:p>
      <w:pPr>
        <w:pStyle w:val="null3"/>
        <w:jc w:val="center"/>
        <w:outlineLvl w:val="3"/>
      </w:pPr>
      <w:r>
        <w:rPr>
          <w:sz w:val="24"/>
          <w:b/>
        </w:rPr>
        <w:t>项目名称：</w:t>
      </w:r>
      <w:r>
        <w:rPr>
          <w:sz w:val="24"/>
          <w:b/>
        </w:rPr>
        <w:t>增城区融入“黄金内湾”高质量发展重大平台、重大基础设施项目前期策划</w:t>
      </w:r>
    </w:p>
    <w:p>
      <w:pPr>
        <w:pStyle w:val="null3"/>
        <w:jc w:val="center"/>
        <w:outlineLvl w:val="3"/>
      </w:pPr>
      <w:r>
        <w:rPr>
          <w:sz w:val="24"/>
          <w:b/>
        </w:rPr>
        <w:t>采购人：</w:t>
      </w:r>
      <w:r>
        <w:rPr>
          <w:sz w:val="24"/>
          <w:b/>
        </w:rPr>
        <w:t>广州市规划和自然资源局增城区分局</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广州程启招标代理有限公司</w:t>
      </w:r>
      <w:r>
        <w:rPr/>
        <w:t>受</w:t>
      </w:r>
      <w:r>
        <w:rPr/>
        <w:t>广州市规划和自然资源局增城区分局</w:t>
      </w:r>
      <w:r>
        <w:rPr/>
        <w:t>的委托，采用</w:t>
      </w:r>
      <w:r>
        <w:rPr/>
        <w:t>公开招标</w:t>
      </w:r>
      <w:r>
        <w:rPr/>
        <w:t>方式组织采购</w:t>
      </w:r>
      <w:r>
        <w:rPr/>
        <w:t>增城区融入“黄金内湾”高质量发展重大平台、重大基础设施项目前期策划</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增城区融入“黄金内湾”高质量发展重大平台、重大基础设施项目前期策划</w:t>
      </w:r>
    </w:p>
    <w:p>
      <w:pPr>
        <w:pStyle w:val="null3"/>
        <w:ind w:firstLine="480"/>
      </w:pPr>
      <w:r>
        <w:rPr/>
        <w:t>采购计划编号：</w:t>
      </w:r>
      <w:r>
        <w:rPr/>
        <w:t>440118-2025-03264</w:t>
      </w:r>
    </w:p>
    <w:p>
      <w:pPr>
        <w:pStyle w:val="null3"/>
        <w:ind w:firstLine="480"/>
      </w:pPr>
      <w:r>
        <w:rPr/>
        <w:t>采购项目编号：</w:t>
      </w:r>
      <w:r>
        <w:rPr/>
        <w:t>GZCQC2500FG06013</w:t>
      </w:r>
    </w:p>
    <w:p>
      <w:pPr>
        <w:pStyle w:val="null3"/>
        <w:ind w:firstLine="480"/>
      </w:pPr>
      <w:r>
        <w:rPr/>
        <w:t>采购方式：</w:t>
      </w:r>
      <w:r>
        <w:rPr/>
        <w:t>公开招标</w:t>
      </w:r>
    </w:p>
    <w:p>
      <w:pPr>
        <w:pStyle w:val="null3"/>
        <w:ind w:firstLine="480"/>
      </w:pPr>
      <w:r>
        <w:rPr/>
        <w:t>预算金额：</w:t>
      </w:r>
      <w:r>
        <w:rPr/>
        <w:t>1,590,000.00</w:t>
      </w:r>
      <w:r>
        <w:rPr/>
        <w:t>元</w:t>
      </w:r>
    </w:p>
    <w:p>
      <w:pPr>
        <w:pStyle w:val="null3"/>
        <w:outlineLvl w:val="3"/>
      </w:pPr>
      <w:r>
        <w:rPr>
          <w:sz w:val="24"/>
          <w:b/>
        </w:rPr>
        <w:t>2.项目内容及需求情况（采购项目技术规格、参数及要求）</w:t>
      </w:r>
    </w:p>
    <w:p>
      <w:pPr>
        <w:pStyle w:val="null3"/>
      </w:pPr>
      <w:r>
        <w:rPr/>
        <w:t>采购包1(增城区融入“黄金内湾”高质量发展重大平台、重大基础设施项目前期策划):</w:t>
      </w:r>
    </w:p>
    <w:p>
      <w:pPr>
        <w:pStyle w:val="null3"/>
      </w:pPr>
      <w:r>
        <w:rPr/>
        <w:t>采购包预算金额：1,590,000.00元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区域规划和设计服务</w:t>
            </w:r>
          </w:p>
        </w:tc>
        <w:tc>
          <w:tcPr>
            <w:tcW w:type="dxa" w:w="2136"/>
          </w:tcPr>
          <w:p>
            <w:pPr>
              <w:pStyle w:val="null3"/>
            </w:pPr>
            <w:r>
              <w:rPr/>
              <w:t>增城区融入“黄金内湾”高质量发展重大平台、重大基础设施项目前期策划</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本采购包接受联合体投标</w:t>
      </w:r>
    </w:p>
    <w:p>
      <w:pPr>
        <w:pStyle w:val="null3"/>
      </w:pPr>
      <w:r>
        <w:rPr/>
        <w:t>合同分包：不允许合同分包</w:t>
      </w:r>
    </w:p>
    <w:p>
      <w:pPr>
        <w:pStyle w:val="null3"/>
      </w:pPr>
      <w:r>
        <w:rPr/>
        <w:t>合同履行期限：自合同签订日起12个月。</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采购包1（增城区融入“黄金内湾”高质量发展重大平台、重大基础设施项目前期策划）：</w:t>
      </w:r>
      <w:r>
        <w:rPr/>
        <w:t>根据《政府采购促进中小企业发展管理办法》的规定，本项目属于“按照本办法规定预留采购份额无法确保充分供应、充分竞争，或者存在可能影响政府采购目标实现的情形”，本项目不属于专门面向中小企业采购的项目。</w:t>
      </w:r>
    </w:p>
    <w:p>
      <w:pPr>
        <w:pStyle w:val="null3"/>
        <w:outlineLvl w:val="3"/>
      </w:pPr>
      <w:r>
        <w:rPr>
          <w:sz w:val="24"/>
          <w:b/>
        </w:rPr>
        <w:t>3.本项目特定的资格要求：</w:t>
      </w:r>
    </w:p>
    <w:p>
      <w:pPr>
        <w:pStyle w:val="null3"/>
      </w:pPr>
      <w:r>
        <w:rPr/>
        <w:t>采购包1（增城区融入“黄金内湾”高质量发展重大平台、重大基础设施项目前期策划）：</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4)存在任一级人民政府财政部门作出“禁止参加政府采购活动”行政处罚决定且处罚期限未届满的，不得参加政府采购活动。（提供《声明函》，格式自拟）</w:t>
      </w:r>
    </w:p>
    <w:p>
      <w:pPr>
        <w:pStyle w:val="null3"/>
      </w:pPr>
      <w:r>
        <w:rPr/>
        <w:t>5)投标人须具备城乡规划编制乙级或以上资质。（根据《自然资源部办公厅关于城乡规划编制单位甲级资质证书延期有关事宜的通知》的规定，有效期至2023年12月31日的城乡规划编制单位甲级资质证书，有效期延长至2025年12月31日。如相关主管部门有最新政策，按最新政策执行）。（提供证书复印件）</w:t>
      </w:r>
    </w:p>
    <w:p>
      <w:pPr>
        <w:pStyle w:val="null3"/>
      </w:pPr>
      <w:r>
        <w:rPr/>
        <w:t>6)本项目接受联合体投标。如以联合体形式参与投标，联合体各方不得再单独参加或者与其他供应商另外组成联合体参加本项目投标。联合体成员必须各方共同签署《联合体共同投标协议书》，明确分工。且投标时必须提交《联合体共同投标协议书》。</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广州程启招标代理有限公司网（www.gzcqc.com）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广州市规划和自然资源局增城区分局</w:t>
      </w:r>
    </w:p>
    <w:p>
      <w:pPr>
        <w:pStyle w:val="null3"/>
        <w:ind w:firstLine="480"/>
      </w:pPr>
      <w:r>
        <w:rPr/>
        <w:t xml:space="preserve"> 地址：</w:t>
      </w:r>
      <w:r>
        <w:rPr/>
        <w:t>广州市增城区荔城街道光明西路108号</w:t>
      </w:r>
    </w:p>
    <w:p>
      <w:pPr>
        <w:pStyle w:val="null3"/>
        <w:ind w:firstLine="480"/>
      </w:pPr>
      <w:r>
        <w:rPr/>
        <w:t xml:space="preserve"> 联系方式：</w:t>
      </w:r>
      <w:r>
        <w:rPr/>
        <w:t>020-82667612</w:t>
      </w:r>
    </w:p>
    <w:p>
      <w:pPr>
        <w:pStyle w:val="null3"/>
        <w:outlineLvl w:val="3"/>
      </w:pPr>
      <w:r>
        <w:rPr>
          <w:sz w:val="24"/>
          <w:b/>
        </w:rPr>
        <w:t xml:space="preserve"> 2.采购代理机构信息</w:t>
      </w:r>
    </w:p>
    <w:p>
      <w:pPr>
        <w:pStyle w:val="null3"/>
        <w:ind w:firstLine="480"/>
      </w:pPr>
      <w:r>
        <w:rPr/>
        <w:t xml:space="preserve"> 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朱小姐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（一）项目背景</w:t>
      </w:r>
    </w:p>
    <w:p>
      <w:pPr>
        <w:pStyle w:val="null3"/>
        <w:spacing w:after="120"/>
        <w:ind w:left="420" w:firstLine="420"/>
        <w:jc w:val="both"/>
      </w:pPr>
      <w:r>
        <w:rPr>
          <w:sz w:val="24"/>
        </w:rPr>
        <w:t>1.国家赋予粤港澳大湾区“一点两地”新定位，广东省将规划建设“黄金内湾”作为强化湾区发展引擎的关键抓手</w:t>
      </w:r>
    </w:p>
    <w:p>
      <w:pPr>
        <w:pStyle w:val="null3"/>
        <w:spacing w:after="120"/>
        <w:ind w:left="420" w:firstLine="420"/>
        <w:jc w:val="both"/>
      </w:pPr>
      <w:r>
        <w:rPr>
          <w:sz w:val="24"/>
        </w:rPr>
        <w:t>在国家构建新发展格局的战略部署下，粤港澳大湾区承担着建设世界级城市群与高质量发展示范区的历史使命。新阶段国家赋予粤港澳大湾区“一点两地”新定位，要求持续强化大湾区建设、提升引领功能、发挥大湾区在区域协调发展中的牵引作用。为突出创新驱动、示范带动，强化湾区发展引擎，2022年5月广东省第十三次党代会提出打造环珠江口100公里“黄金内湾”，要求提升一体化水平，以珠江口东西两岸融合发展为突破口，深化基础设施、产业发展、社会治理等对接融合，带动广州、深圳、珠江口西岸三大都市圈协同发展。2025年广东省政府工作报告提出加快规划建设环珠江口“黄金内湾”的工作部署，要求创新珠江口一体化高质量发展体制机制，推动珠江口东西两岸融合发展。</w:t>
      </w:r>
    </w:p>
    <w:p>
      <w:pPr>
        <w:pStyle w:val="null3"/>
        <w:spacing w:after="120"/>
        <w:ind w:left="420" w:firstLine="420"/>
        <w:jc w:val="both"/>
      </w:pPr>
      <w:r>
        <w:rPr>
          <w:sz w:val="24"/>
        </w:rPr>
        <w:t>2.广东省“黄金内湾”规划咨询进入关键阶段，增城亟需强化战略对接，谋划在“黄金内湾”中发展方位</w:t>
      </w:r>
    </w:p>
    <w:p>
      <w:pPr>
        <w:pStyle w:val="null3"/>
        <w:spacing w:after="120"/>
        <w:ind w:left="420" w:firstLine="420"/>
        <w:jc w:val="both"/>
      </w:pPr>
      <w:r>
        <w:rPr>
          <w:sz w:val="24"/>
        </w:rPr>
        <w:t>2024年9月，为落实省委省政府规划建设“黄金内湾”的工作部署，广东省自然资源厅组织开展了《“黄金内湾”概念规划与设计国际咨询》（以下简称“黄金内湾”规划咨询）。按照计划安排，“黄金内湾”规划咨询分为前期研究、国际咨询、整合优化等3个阶段。2025年1月，“黄金内湾”规划咨询完成方案审查，标志进入整合优化阶段。在前期研究和国际咨询阶段的谋划中，现有“黄金内湾”规划咨询成果对东部中心、增城区的着墨相对较少，东部中心（增城片区）未能纳入重要区域发展结构中；增城尚未有重点地区纳入区域重点地区设计方案，仅在概念规划中提及；区域供应链和产业链枢纽及相关重大基础设施的布局规划仍不明确。增城在“黄金内湾”发展格局中的“能见度”不显。对应“黄金内湾”规划聚焦的区域一体化、产业与科创转型、环湾海滨品质提升及韧性国土空间营建等议题，增城区在交通枢纽设施建设、产业纵深布局与生态空间营建等已形成了良好的基础，需要进一步挖掘优势并借助战略规划赋能，强化增城区在湾区发展战略的作用。</w:t>
      </w:r>
    </w:p>
    <w:p>
      <w:pPr>
        <w:pStyle w:val="null3"/>
        <w:spacing w:after="120"/>
        <w:ind w:left="420" w:firstLine="420"/>
        <w:jc w:val="both"/>
      </w:pPr>
      <w:r>
        <w:rPr>
          <w:sz w:val="24"/>
        </w:rPr>
        <w:t>（二）资金来源：财政资金。</w:t>
      </w:r>
    </w:p>
    <w:p>
      <w:pPr>
        <w:pStyle w:val="null3"/>
        <w:spacing w:after="120"/>
        <w:ind w:left="420" w:firstLine="420"/>
        <w:jc w:val="both"/>
      </w:pPr>
      <w:r>
        <w:rPr>
          <w:sz w:val="24"/>
        </w:rPr>
        <w:t>（三）★项目采购预算（最高限价）：人民币159万元（其中2025年度安排预算79万元（项目第一期费用），2026年预算以财政局实际批复为准），凡超出最高限价的，一律视为无效投标。报价应含成果文本印刷费、税费以及现场查勘、交通、会议等完成本项目所需的全部费用。</w:t>
      </w:r>
    </w:p>
    <w:p>
      <w:pPr>
        <w:pStyle w:val="null3"/>
        <w:spacing w:after="120"/>
        <w:ind w:left="420" w:firstLine="420"/>
        <w:jc w:val="both"/>
      </w:pPr>
      <w:r>
        <w:rPr>
          <w:sz w:val="24"/>
        </w:rPr>
        <w:t>（四）项目成果版权归广州市规划和自然资源局增城区分局所有。</w:t>
      </w:r>
    </w:p>
    <w:p>
      <w:pPr>
        <w:pStyle w:val="null3"/>
        <w:spacing w:after="120"/>
        <w:ind w:left="420" w:firstLine="420"/>
        <w:jc w:val="both"/>
      </w:pPr>
      <w:r>
        <w:rPr>
          <w:sz w:val="24"/>
        </w:rPr>
        <w:t>（五）承接本项目的单位被视为承认本采购需求所有条款，并按采购需求规定的条款完成相关工作。</w:t>
      </w:r>
    </w:p>
    <w:p>
      <w:pPr>
        <w:pStyle w:val="null3"/>
      </w:pPr>
      <w:r>
        <w:rPr/>
        <w:t>采购包1（增城区融入“黄金内湾”高质量发展重大平台、重大基础设施项目前期策划）</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自合同签订日起12个月。</w:t>
            </w:r>
          </w:p>
        </w:tc>
      </w:tr>
      <w:tr>
        <w:tc>
          <w:tcPr>
            <w:tcW w:type="dxa" w:w="4153"/>
          </w:tcPr>
          <w:p>
            <w:pPr>
              <w:pStyle w:val="null3"/>
            </w:pPr>
            <w:r>
              <w:rPr/>
              <w:t>标的提供的地点</w:t>
            </w:r>
          </w:p>
        </w:tc>
        <w:tc>
          <w:tcPr>
            <w:tcW w:type="dxa" w:w="4153"/>
          </w:tcPr>
          <w:p>
            <w:pPr>
              <w:pStyle w:val="null3"/>
            </w:pPr>
            <w:r>
              <w:rPr/>
              <w:t>广州市</w:t>
            </w:r>
          </w:p>
        </w:tc>
      </w:tr>
      <w:tr>
        <w:tc>
          <w:tcPr>
            <w:tcW w:type="dxa" w:w="4153"/>
          </w:tcPr>
          <w:p>
            <w:pPr>
              <w:pStyle w:val="null3"/>
            </w:pPr>
            <w:r>
              <w:rPr/>
              <w:t>付款方式</w:t>
            </w:r>
          </w:p>
        </w:tc>
        <w:tc>
          <w:tcPr>
            <w:tcW w:type="dxa" w:w="4153"/>
          </w:tcPr>
          <w:p>
            <w:pPr>
              <w:pStyle w:val="null3"/>
            </w:pPr>
            <w:r>
              <w:rPr/>
              <w:t>1期：支付比例49.686%,自合同签订后，中标人向采购人提供支付凭证（账户确认书、等额发票等），采购人于财政资金到位之日起5个工作日内办理支付手续，支付79万元作为预付款。</w:t>
            </w:r>
          </w:p>
          <w:p>
            <w:pPr>
              <w:pStyle w:val="null3"/>
            </w:pPr>
            <w:r>
              <w:rPr/>
              <w:t>2期：支付比例50.314%,中标人提交合同约定的终期成果，通过专家评审及采购人审查，中标人向采购人提供支付凭证后（账户确认书、等额发票等），采购人于财政资金到位之日起5个工作日内办理支付手续，支付合同尾款。 注：中标人凭以下资料申请编制费用： （1）合同； （2）中标人开具的账户确认书、正式发票、请款函； （3）中标通知书。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1期：以下列标准和方式对中标人的技术服务工作成果进行验收： 1.中标人完成技术服务工作的形式：编制完成各阶段成果，提交纸质和相应电子数据成果，并协助采购人完成成果的汇报、上报和审查等工作。 2.提交技术服务工作成果的数量：根据审查环节的需要，在提交规划成果进行审查的每个环节，中标人均应提供符合规划内容要求的纸质文本或电子文件光盘材料，数量以满足审查要求为准。 3.技术服务工作成果的验收标准：满足国家、广东省有关规划编制要求及国家、省、市有关法律、法规、标准、规范等要求，符合项目任务书的要求。 4.技术服务工作成果的验收方式：由采购人组织对所有相关成果进行技术审查、验收后结题归档。 5.验收的时间和地点：由采购人根据项目工作实际开展情况明确。</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区域规划和设计服务</w:t>
            </w:r>
          </w:p>
        </w:tc>
        <w:tc>
          <w:tcPr>
            <w:tcW w:type="dxa" w:w="933"/>
          </w:tcPr>
          <w:p>
            <w:pPr>
              <w:pStyle w:val="null3"/>
              <w:jc w:val="left"/>
            </w:pPr>
            <w:r>
              <w:rPr/>
              <w:t>增城区融入“黄金内湾”高质量发展重大平台、重大基础设施项目前期策划</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1,590,000.00</w:t>
            </w:r>
          </w:p>
        </w:tc>
        <w:tc>
          <w:tcPr>
            <w:tcW w:type="dxa" w:w="933"/>
          </w:tcPr>
          <w:p>
            <w:pPr>
              <w:pStyle w:val="null3"/>
              <w:jc w:val="right"/>
            </w:pPr>
            <w:r>
              <w:rPr/>
              <w:t>1,590,000.00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增城区融入“黄金内湾”高质量发展重大平台、重大基础设施项目前期策划</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color w:val="000000"/>
              </w:rPr>
              <w:t>一、项目范围与期限</w:t>
            </w:r>
          </w:p>
          <w:p>
            <w:pPr>
              <w:pStyle w:val="null3"/>
              <w:ind w:firstLine="420"/>
              <w:jc w:val="both"/>
            </w:pPr>
            <w:r>
              <w:rPr>
                <w:sz w:val="24"/>
                <w:color w:val="000000"/>
              </w:rPr>
              <w:t>（一）规划范围：增城区行政辖区范围，面积为1616.47平方公里。</w:t>
            </w:r>
          </w:p>
          <w:p>
            <w:pPr>
              <w:pStyle w:val="null3"/>
              <w:ind w:firstLine="420"/>
              <w:jc w:val="left"/>
            </w:pPr>
            <w:r>
              <w:rPr>
                <w:sz w:val="24"/>
                <w:color w:val="000000"/>
              </w:rPr>
              <w:t>（二）规划年限：规划研究年限至2035年，展望至2050年。</w:t>
            </w:r>
          </w:p>
        </w:tc>
      </w:tr>
      <w:tr>
        <w:tc>
          <w:tcPr>
            <w:tcW w:type="dxa" w:w="2076"/>
          </w:tcPr>
          <w:p/>
        </w:tc>
        <w:tc>
          <w:tcPr>
            <w:tcW w:type="dxa" w:w="415"/>
          </w:tcPr>
          <w:p>
            <w:pPr>
              <w:pStyle w:val="null3"/>
            </w:pPr>
            <w:r>
              <w:rPr/>
              <w:t>2</w:t>
            </w:r>
          </w:p>
        </w:tc>
        <w:tc>
          <w:tcPr>
            <w:tcW w:type="dxa" w:w="5814"/>
          </w:tcPr>
          <w:p>
            <w:pPr>
              <w:pStyle w:val="null3"/>
              <w:jc w:val="both"/>
            </w:pPr>
            <w:r>
              <w:rPr>
                <w:sz w:val="24"/>
                <w:b/>
                <w:color w:val="000000"/>
              </w:rPr>
              <w:t>二、规划依据</w:t>
            </w:r>
          </w:p>
          <w:p>
            <w:pPr>
              <w:pStyle w:val="null3"/>
              <w:ind w:firstLine="420"/>
              <w:jc w:val="both"/>
            </w:pPr>
            <w:r>
              <w:rPr>
                <w:sz w:val="24"/>
                <w:color w:val="000000"/>
              </w:rPr>
              <w:t>（一）相关法律法规及规范标准</w:t>
            </w:r>
          </w:p>
          <w:p>
            <w:pPr>
              <w:pStyle w:val="null3"/>
              <w:ind w:firstLine="420"/>
              <w:jc w:val="both"/>
            </w:pPr>
            <w:r>
              <w:rPr>
                <w:sz w:val="24"/>
                <w:color w:val="000000"/>
              </w:rPr>
              <w:t>1</w:t>
            </w:r>
            <w:r>
              <w:rPr>
                <w:sz w:val="24"/>
                <w:color w:val="000000"/>
              </w:rPr>
              <w:t>、《中华人民共和国城乡规划法》(2019年修正)；</w:t>
            </w:r>
          </w:p>
          <w:p>
            <w:pPr>
              <w:pStyle w:val="null3"/>
              <w:ind w:firstLine="420"/>
              <w:jc w:val="both"/>
            </w:pPr>
            <w:r>
              <w:rPr>
                <w:sz w:val="24"/>
                <w:color w:val="000000"/>
              </w:rPr>
              <w:t>2</w:t>
            </w:r>
            <w:r>
              <w:rPr>
                <w:sz w:val="24"/>
                <w:color w:val="000000"/>
              </w:rPr>
              <w:t>、《城市规划编制办法》（2006）；</w:t>
            </w:r>
          </w:p>
          <w:p>
            <w:pPr>
              <w:pStyle w:val="null3"/>
              <w:ind w:firstLine="420"/>
              <w:jc w:val="both"/>
            </w:pPr>
            <w:r>
              <w:rPr>
                <w:sz w:val="24"/>
                <w:color w:val="000000"/>
              </w:rPr>
              <w:t>3</w:t>
            </w:r>
            <w:r>
              <w:rPr>
                <w:sz w:val="24"/>
                <w:color w:val="000000"/>
              </w:rPr>
              <w:t>、《城市设计管理办法》（2017）；</w:t>
            </w:r>
          </w:p>
          <w:p>
            <w:pPr>
              <w:pStyle w:val="null3"/>
              <w:ind w:firstLine="420"/>
              <w:jc w:val="both"/>
            </w:pPr>
            <w:r>
              <w:rPr>
                <w:sz w:val="24"/>
                <w:color w:val="000000"/>
              </w:rPr>
              <w:t>4</w:t>
            </w:r>
            <w:r>
              <w:rPr>
                <w:sz w:val="24"/>
                <w:color w:val="000000"/>
              </w:rPr>
              <w:t>、《广东省城乡规划条例》（2013）；</w:t>
            </w:r>
          </w:p>
          <w:p>
            <w:pPr>
              <w:pStyle w:val="null3"/>
              <w:ind w:firstLine="420"/>
              <w:jc w:val="both"/>
            </w:pPr>
            <w:r>
              <w:rPr>
                <w:sz w:val="24"/>
                <w:color w:val="000000"/>
              </w:rPr>
              <w:t>5</w:t>
            </w:r>
            <w:r>
              <w:rPr>
                <w:sz w:val="24"/>
                <w:color w:val="000000"/>
              </w:rPr>
              <w:t>、《广东省城市控制性详细规划管理条例》；</w:t>
            </w:r>
          </w:p>
          <w:p>
            <w:pPr>
              <w:pStyle w:val="null3"/>
              <w:ind w:firstLine="420"/>
              <w:jc w:val="both"/>
            </w:pPr>
            <w:r>
              <w:rPr>
                <w:sz w:val="24"/>
                <w:color w:val="000000"/>
              </w:rPr>
              <w:t>6</w:t>
            </w:r>
            <w:r>
              <w:rPr>
                <w:sz w:val="24"/>
                <w:color w:val="000000"/>
              </w:rPr>
              <w:t>、《广东省城市控制性详细规划编制指引》（2014年）；</w:t>
            </w:r>
          </w:p>
          <w:p>
            <w:pPr>
              <w:pStyle w:val="null3"/>
              <w:ind w:firstLine="420"/>
              <w:jc w:val="both"/>
            </w:pPr>
            <w:r>
              <w:rPr>
                <w:sz w:val="24"/>
                <w:color w:val="000000"/>
              </w:rPr>
              <w:t>7</w:t>
            </w:r>
            <w:r>
              <w:rPr>
                <w:sz w:val="24"/>
                <w:color w:val="000000"/>
              </w:rPr>
              <w:t>、《广州市城乡规划条例》（2015）；</w:t>
            </w:r>
          </w:p>
          <w:p>
            <w:pPr>
              <w:pStyle w:val="null3"/>
              <w:ind w:firstLine="420"/>
              <w:jc w:val="both"/>
            </w:pPr>
            <w:r>
              <w:rPr>
                <w:sz w:val="24"/>
                <w:color w:val="000000"/>
              </w:rPr>
              <w:t>8</w:t>
            </w:r>
            <w:r>
              <w:rPr>
                <w:sz w:val="24"/>
                <w:color w:val="000000"/>
              </w:rPr>
              <w:t>、《广州市城乡规划技术规定》（2019年）；</w:t>
            </w:r>
          </w:p>
          <w:p>
            <w:pPr>
              <w:pStyle w:val="null3"/>
              <w:ind w:firstLine="420"/>
              <w:jc w:val="both"/>
            </w:pPr>
            <w:r>
              <w:rPr>
                <w:sz w:val="24"/>
                <w:color w:val="000000"/>
              </w:rPr>
              <w:t>（二）上位及相关规划</w:t>
            </w:r>
          </w:p>
          <w:p>
            <w:pPr>
              <w:pStyle w:val="null3"/>
              <w:ind w:firstLine="420"/>
              <w:jc w:val="both"/>
            </w:pPr>
            <w:r>
              <w:rPr>
                <w:sz w:val="24"/>
                <w:color w:val="000000"/>
              </w:rPr>
              <w:t>1</w:t>
            </w:r>
            <w:r>
              <w:rPr>
                <w:sz w:val="24"/>
                <w:color w:val="000000"/>
              </w:rPr>
              <w:t>、《广州市国土空间总体规划（2021-2035年）》；</w:t>
            </w:r>
          </w:p>
          <w:p>
            <w:pPr>
              <w:pStyle w:val="null3"/>
              <w:ind w:firstLine="420"/>
              <w:jc w:val="both"/>
            </w:pPr>
            <w:r>
              <w:rPr>
                <w:sz w:val="24"/>
                <w:color w:val="000000"/>
              </w:rPr>
              <w:t>2</w:t>
            </w:r>
            <w:r>
              <w:rPr>
                <w:sz w:val="24"/>
                <w:color w:val="000000"/>
              </w:rPr>
              <w:t>、《广州市增城区国民经济和社会发展第十四个五年规划和2035年远景目标纲要》；</w:t>
            </w:r>
          </w:p>
          <w:p>
            <w:pPr>
              <w:pStyle w:val="null3"/>
              <w:ind w:firstLine="420"/>
              <w:jc w:val="both"/>
            </w:pPr>
            <w:r>
              <w:rPr>
                <w:sz w:val="24"/>
                <w:color w:val="000000"/>
              </w:rPr>
              <w:t>3</w:t>
            </w:r>
            <w:r>
              <w:rPr>
                <w:sz w:val="24"/>
                <w:color w:val="000000"/>
              </w:rPr>
              <w:t>、《广州市增城区国土空间总体规划（2021-2035年）》；</w:t>
            </w:r>
          </w:p>
          <w:p>
            <w:pPr>
              <w:pStyle w:val="null3"/>
              <w:ind w:firstLine="420"/>
              <w:jc w:val="both"/>
            </w:pPr>
            <w:r>
              <w:rPr>
                <w:sz w:val="24"/>
                <w:color w:val="000000"/>
              </w:rPr>
              <w:t>4</w:t>
            </w:r>
            <w:r>
              <w:rPr>
                <w:sz w:val="24"/>
                <w:color w:val="000000"/>
              </w:rPr>
              <w:t>、《广州东部中心总体规划》；</w:t>
            </w:r>
          </w:p>
          <w:p>
            <w:pPr>
              <w:pStyle w:val="null3"/>
              <w:ind w:firstLine="420"/>
              <w:jc w:val="both"/>
            </w:pPr>
            <w:r>
              <w:rPr>
                <w:sz w:val="24"/>
                <w:color w:val="000000"/>
              </w:rPr>
              <w:t>5</w:t>
            </w:r>
            <w:r>
              <w:rPr>
                <w:sz w:val="24"/>
                <w:color w:val="000000"/>
              </w:rPr>
              <w:t>、涉及项目范围相关的总体规划、详细规划、专项规划及其他相关法律、法规、规范性文件等。</w:t>
            </w:r>
          </w:p>
        </w:tc>
      </w:tr>
      <w:tr>
        <w:tc>
          <w:tcPr>
            <w:tcW w:type="dxa" w:w="2076"/>
          </w:tcPr>
          <w:p/>
        </w:tc>
        <w:tc>
          <w:tcPr>
            <w:tcW w:type="dxa" w:w="415"/>
          </w:tcPr>
          <w:p>
            <w:pPr>
              <w:pStyle w:val="null3"/>
            </w:pPr>
            <w:r>
              <w:rPr/>
              <w:t>3</w:t>
            </w:r>
          </w:p>
        </w:tc>
        <w:tc>
          <w:tcPr>
            <w:tcW w:type="dxa" w:w="5814"/>
          </w:tcPr>
          <w:p>
            <w:pPr>
              <w:pStyle w:val="null3"/>
              <w:jc w:val="both"/>
            </w:pPr>
            <w:r>
              <w:rPr>
                <w:sz w:val="24"/>
                <w:b/>
              </w:rPr>
              <w:t>三、工作目标</w:t>
            </w:r>
          </w:p>
          <w:p>
            <w:pPr>
              <w:pStyle w:val="null3"/>
              <w:ind w:firstLine="420"/>
              <w:jc w:val="both"/>
            </w:pPr>
            <w:r>
              <w:rPr>
                <w:sz w:val="24"/>
              </w:rPr>
              <w:t>协同广东省、广州市及周边区域关于“黄金内湾”规划建设的谋划部署，研判增城优势与挑战，充分挖掘增城区域发展价值与定位，谋划一批能够纳入省“黄金内湾”规划整合成果的重要战略地区、重大设施和改革创新试验做法，提高在“黄金内湾”战略中的“能见度”，更好服务增城加快融入国际一流湾区和世界级城市群建设，助力打造广州高质量发展动力源。</w:t>
            </w:r>
          </w:p>
        </w:tc>
      </w:tr>
      <w:tr>
        <w:tc>
          <w:tcPr>
            <w:tcW w:type="dxa" w:w="2076"/>
          </w:tcPr>
          <w:p/>
        </w:tc>
        <w:tc>
          <w:tcPr>
            <w:tcW w:type="dxa" w:w="415"/>
          </w:tcPr>
          <w:p>
            <w:pPr>
              <w:pStyle w:val="null3"/>
            </w:pPr>
            <w:r>
              <w:rPr/>
              <w:t>4</w:t>
            </w:r>
          </w:p>
        </w:tc>
        <w:tc>
          <w:tcPr>
            <w:tcW w:type="dxa" w:w="5814"/>
          </w:tcPr>
          <w:p>
            <w:pPr>
              <w:pStyle w:val="null3"/>
              <w:jc w:val="both"/>
            </w:pPr>
            <w:r>
              <w:rPr>
                <w:sz w:val="24"/>
                <w:b/>
              </w:rPr>
              <w:t>四、工作内容</w:t>
            </w:r>
          </w:p>
          <w:p>
            <w:pPr>
              <w:pStyle w:val="null3"/>
              <w:ind w:firstLine="420"/>
              <w:jc w:val="both"/>
            </w:pPr>
            <w:r>
              <w:rPr>
                <w:sz w:val="24"/>
                <w:color w:val="000000"/>
              </w:rPr>
              <w:t>包括但不限于以下工作内容：</w:t>
            </w:r>
          </w:p>
          <w:p>
            <w:pPr>
              <w:pStyle w:val="null3"/>
              <w:ind w:firstLine="420"/>
              <w:jc w:val="both"/>
            </w:pPr>
            <w:r>
              <w:rPr>
                <w:sz w:val="24"/>
                <w:color w:val="000000"/>
              </w:rPr>
              <w:t>（一）片区高质量发展</w:t>
            </w:r>
            <w:r>
              <w:rPr>
                <w:sz w:val="24"/>
                <w:color w:val="000000"/>
              </w:rPr>
              <w:t>研究</w:t>
            </w:r>
          </w:p>
          <w:p>
            <w:pPr>
              <w:pStyle w:val="null3"/>
              <w:ind w:firstLine="420"/>
              <w:jc w:val="both"/>
            </w:pPr>
            <w:r>
              <w:rPr>
                <w:sz w:val="24"/>
                <w:color w:val="000000"/>
              </w:rPr>
              <w:t>1.</w:t>
            </w:r>
            <w:r>
              <w:rPr>
                <w:sz w:val="24"/>
                <w:color w:val="000000"/>
              </w:rPr>
              <w:t>研判现状发展特质</w:t>
            </w:r>
          </w:p>
          <w:p>
            <w:pPr>
              <w:pStyle w:val="null3"/>
              <w:ind w:firstLine="420"/>
              <w:jc w:val="both"/>
            </w:pPr>
            <w:r>
              <w:rPr>
                <w:sz w:val="24"/>
                <w:color w:val="000000"/>
              </w:rPr>
              <w:t>从对外交往转向、科技创新转向、发展方式转向、空间组织转向方面全面解析“黄金内湾”一体化、融合发展新趋势；在此基础上对从区域协同、产业创新、环境提质、生态韧性等角度全面分析增城现状特征以及在“黄金内湾”一体化融合发展过程中面临的机遇和挑战。</w:t>
            </w:r>
          </w:p>
          <w:p>
            <w:pPr>
              <w:pStyle w:val="null3"/>
              <w:ind w:firstLine="420"/>
              <w:jc w:val="both"/>
            </w:pPr>
            <w:r>
              <w:rPr>
                <w:sz w:val="24"/>
                <w:color w:val="000000"/>
              </w:rPr>
              <w:t>2.</w:t>
            </w:r>
            <w:r>
              <w:rPr>
                <w:sz w:val="24"/>
                <w:color w:val="000000"/>
              </w:rPr>
              <w:t>明确目标、策略与空间布局</w:t>
            </w:r>
          </w:p>
          <w:p>
            <w:pPr>
              <w:pStyle w:val="null3"/>
              <w:ind w:firstLine="420"/>
              <w:jc w:val="both"/>
            </w:pPr>
            <w:r>
              <w:rPr>
                <w:sz w:val="24"/>
                <w:color w:val="000000"/>
              </w:rPr>
              <w:t>分析增城空间发展历程，研判粤港澳大湾区发展规划纲要、广州市战略规划2049、广州市和增城区国土空间总体规划对新阶段空间发展谋划。在此基础上审视增城在“黄金内湾”中区域角色，提出“黄金内湾”格局下的区域发展新定位。围绕东部中心、环两山示范区等区域重大平台统筹谋划、区域协调发展等方面提出城市的主要拓展方向、战略发展空间、重大发展平台等规划建设策略，科学谋划增城城市发展空间结构、功能分区，提出与广州中心城、东莞中心城等“黄金内湾”其他功能区的协调发展策略。</w:t>
            </w:r>
          </w:p>
          <w:p>
            <w:pPr>
              <w:pStyle w:val="null3"/>
              <w:ind w:firstLine="420"/>
              <w:jc w:val="both"/>
            </w:pPr>
            <w:r>
              <w:rPr>
                <w:sz w:val="24"/>
                <w:color w:val="000000"/>
              </w:rPr>
              <w:t>3.</w:t>
            </w:r>
            <w:r>
              <w:rPr>
                <w:sz w:val="24"/>
                <w:color w:val="000000"/>
              </w:rPr>
              <w:t>制定重点区域发展策略</w:t>
            </w:r>
          </w:p>
          <w:p>
            <w:pPr>
              <w:pStyle w:val="null3"/>
              <w:ind w:firstLine="420"/>
              <w:jc w:val="both"/>
            </w:pPr>
            <w:r>
              <w:rPr>
                <w:sz w:val="24"/>
                <w:color w:val="000000"/>
              </w:rPr>
              <w:t>聚焦未来五到十年的战略任务和重大举措，充分挖掘经济、文化、交通等资源优势，识别重点区域。明确重点区域范围、规模、发展远景、目标定位、发展策略、空间结构、分区主导功能等内容对重点价值地区提出精准的战略发展定位和发展思路，为推进实施识别空间载体，分阶段制定实施行动方案。</w:t>
            </w:r>
          </w:p>
          <w:p>
            <w:pPr>
              <w:pStyle w:val="null3"/>
              <w:ind w:firstLine="420"/>
              <w:jc w:val="both"/>
            </w:pPr>
            <w:r>
              <w:rPr>
                <w:sz w:val="24"/>
                <w:color w:val="000000"/>
              </w:rPr>
              <w:t>4.</w:t>
            </w:r>
            <w:r>
              <w:rPr>
                <w:sz w:val="24"/>
                <w:color w:val="000000"/>
              </w:rPr>
              <w:t>强化支撑系统规划研究</w:t>
            </w:r>
          </w:p>
          <w:p>
            <w:pPr>
              <w:pStyle w:val="null3"/>
              <w:ind w:firstLine="420"/>
              <w:jc w:val="both"/>
            </w:pPr>
            <w:r>
              <w:rPr>
                <w:sz w:val="24"/>
                <w:color w:val="000000"/>
              </w:rPr>
              <w:t>（1）产业空间布局规划。分析黄金内湾产业转型发展趋势，面向建设现代化产业体系新要求，发挥增城“慢环境”“低成本”等禀赋优势，从区域协调和城市发展角度，明确产业发展定位、策略和空间格局，分析产业科技互促条件，围绕创新链、产业链、供应链三链整合以及“低空经济”“水经济”等新产业布局，提出完善重大产业平台、项目（如低空公园）总体格局和保障措施。</w:t>
            </w:r>
          </w:p>
          <w:p>
            <w:pPr>
              <w:pStyle w:val="null3"/>
              <w:ind w:firstLine="420"/>
              <w:jc w:val="both"/>
            </w:pPr>
            <w:r>
              <w:rPr>
                <w:sz w:val="24"/>
                <w:color w:val="000000"/>
              </w:rPr>
              <w:t>（2）综合交通规划。提出城市交通发展体系，落实轨道交通、高快速交通系统空间布局，重点提升城市与粤港澳大湾区核心城市、周边重点发展平台的交通联系。</w:t>
            </w:r>
          </w:p>
          <w:p>
            <w:pPr>
              <w:pStyle w:val="null3"/>
              <w:ind w:firstLine="420"/>
              <w:jc w:val="both"/>
            </w:pPr>
            <w:r>
              <w:rPr>
                <w:sz w:val="24"/>
                <w:color w:val="000000"/>
              </w:rPr>
              <w:t>（3）公共服务设施规划。面向新阶段不同人群使用需求，构建公共服务中心体系，补充完善生活性、生产性公共服务设施，规划具有区域影响力的高等级公共服务设施，提升城市服务能级和城市品质。</w:t>
            </w:r>
          </w:p>
          <w:p>
            <w:pPr>
              <w:pStyle w:val="null3"/>
              <w:ind w:firstLine="420"/>
              <w:jc w:val="both"/>
            </w:pPr>
            <w:r>
              <w:rPr>
                <w:sz w:val="24"/>
                <w:color w:val="000000"/>
              </w:rPr>
              <w:t>（4）生态与韧性城市规划。构建生态安全格局，加强生态空间管控修复，落实广东省绿美建设工作要求，深化区域生态环境保护，提出共保共治协同治理措施。研判主要风险识别确定市域和中心城区的主要灾害类型和分布特征，明确韧性城市空间格局，提出生命线系统规划布局。</w:t>
            </w:r>
          </w:p>
          <w:p>
            <w:pPr>
              <w:pStyle w:val="null3"/>
              <w:ind w:firstLine="420"/>
              <w:jc w:val="both"/>
            </w:pPr>
            <w:r>
              <w:rPr>
                <w:sz w:val="24"/>
                <w:color w:val="000000"/>
              </w:rPr>
              <w:t>5.</w:t>
            </w:r>
            <w:r>
              <w:rPr>
                <w:sz w:val="24"/>
                <w:color w:val="000000"/>
              </w:rPr>
              <w:t>提出重点行动计划</w:t>
            </w:r>
          </w:p>
          <w:p>
            <w:pPr>
              <w:pStyle w:val="null3"/>
              <w:ind w:firstLine="420"/>
              <w:jc w:val="both"/>
            </w:pPr>
            <w:r>
              <w:rPr>
                <w:sz w:val="24"/>
                <w:color w:val="000000"/>
              </w:rPr>
              <w:t>围绕核心战略功能、产业发展、综合交通体系、公共服务设施体系、生态与韧性城市构建等不同发展领域，分类提出重点工程清单，并提出概念性示范设计方案和实施路径。</w:t>
            </w:r>
          </w:p>
          <w:p>
            <w:pPr>
              <w:pStyle w:val="null3"/>
              <w:ind w:firstLine="420"/>
              <w:jc w:val="both"/>
            </w:pPr>
            <w:r>
              <w:rPr>
                <w:sz w:val="24"/>
                <w:color w:val="000000"/>
              </w:rPr>
              <w:t>6.</w:t>
            </w:r>
            <w:r>
              <w:rPr>
                <w:sz w:val="24"/>
                <w:color w:val="000000"/>
              </w:rPr>
              <w:t>宣传材料</w:t>
            </w:r>
          </w:p>
          <w:p>
            <w:pPr>
              <w:pStyle w:val="null3"/>
              <w:ind w:firstLine="420"/>
              <w:jc w:val="both"/>
            </w:pPr>
            <w:r>
              <w:rPr>
                <w:sz w:val="24"/>
                <w:color w:val="000000"/>
              </w:rPr>
              <w:t>按照采购人宣传工作要求，根据项目实际推进情况，配合完成所需的图文宣传材料制作等。</w:t>
            </w:r>
          </w:p>
        </w:tc>
      </w:tr>
      <w:tr>
        <w:tc>
          <w:tcPr>
            <w:tcW w:type="dxa" w:w="2076"/>
          </w:tcPr>
          <w:p/>
        </w:tc>
        <w:tc>
          <w:tcPr>
            <w:tcW w:type="dxa" w:w="415"/>
          </w:tcPr>
          <w:p>
            <w:pPr>
              <w:pStyle w:val="null3"/>
            </w:pPr>
            <w:r>
              <w:rPr/>
              <w:t>5</w:t>
            </w:r>
          </w:p>
        </w:tc>
        <w:tc>
          <w:tcPr>
            <w:tcW w:type="dxa" w:w="5814"/>
          </w:tcPr>
          <w:p>
            <w:pPr>
              <w:pStyle w:val="null3"/>
              <w:jc w:val="both"/>
            </w:pPr>
            <w:r>
              <w:rPr>
                <w:sz w:val="24"/>
                <w:b/>
              </w:rPr>
              <w:t>五、成果内容及质量要求</w:t>
            </w:r>
          </w:p>
          <w:p>
            <w:pPr>
              <w:pStyle w:val="null3"/>
              <w:ind w:firstLine="420"/>
              <w:jc w:val="both"/>
            </w:pPr>
            <w:r>
              <w:rPr>
                <w:sz w:val="24"/>
                <w:color w:val="000000"/>
              </w:rPr>
              <w:t>（一）成果内容须符合国家相关规划标准和规范要求。成果主要包括两个方面内容，一是增城区融入“黄金内湾”高质量发展重大平台、重大基础设施项目研究成果，包括主报告、文本、图集、项目库；二是完成向上级相关部门沟通的报告（包括但不限于面向上级相关部门的汇报材料、沟通交流的报告、函件等）。</w:t>
            </w:r>
          </w:p>
          <w:p>
            <w:pPr>
              <w:pStyle w:val="null3"/>
              <w:ind w:firstLine="420"/>
              <w:jc w:val="both"/>
            </w:pPr>
            <w:r>
              <w:rPr>
                <w:sz w:val="24"/>
                <w:color w:val="000000"/>
              </w:rPr>
              <w:t>（二）提交成果应包括书面成果和相应电子数据成果。</w:t>
            </w:r>
          </w:p>
          <w:p>
            <w:pPr>
              <w:pStyle w:val="null3"/>
              <w:ind w:firstLine="420"/>
              <w:jc w:val="both"/>
            </w:pPr>
            <w:r>
              <w:rPr>
                <w:sz w:val="24"/>
                <w:color w:val="000000"/>
              </w:rPr>
              <w:t>1.</w:t>
            </w:r>
            <w:r>
              <w:rPr>
                <w:sz w:val="24"/>
                <w:color w:val="000000"/>
              </w:rPr>
              <w:t>书面成果力求清晰、完整，标注齐全、准确，同类图纸规格尽量统一。文本和图纸合订为一本完整的书面成果。文本文件和图纸文件一并编排，统一采用A3或A4幅面装订。</w:t>
            </w:r>
          </w:p>
          <w:p>
            <w:pPr>
              <w:pStyle w:val="null3"/>
              <w:ind w:firstLine="420"/>
              <w:jc w:val="both"/>
            </w:pPr>
            <w:r>
              <w:rPr>
                <w:sz w:val="24"/>
                <w:color w:val="000000"/>
              </w:rPr>
              <w:t>2.</w:t>
            </w:r>
            <w:r>
              <w:rPr>
                <w:sz w:val="24"/>
                <w:color w:val="000000"/>
              </w:rPr>
              <w:t>电子数据成果应包含全部文字成果和图纸成果，其中文本文件采用Microsoft Word的doc、docx、pdf等格式，图形文件采用GIS的shp格式或AutoCAD的dwg（使用国家2000坐标系统）和jpg格式，汇报演示文件采用PPT格式，文件以光盘形式提供。</w:t>
            </w:r>
          </w:p>
        </w:tc>
      </w:tr>
      <w:tr>
        <w:tc>
          <w:tcPr>
            <w:tcW w:type="dxa" w:w="2076"/>
          </w:tcPr>
          <w:p/>
        </w:tc>
        <w:tc>
          <w:tcPr>
            <w:tcW w:type="dxa" w:w="415"/>
          </w:tcPr>
          <w:p>
            <w:pPr>
              <w:pStyle w:val="null3"/>
            </w:pPr>
            <w:r>
              <w:rPr/>
              <w:t>6</w:t>
            </w:r>
          </w:p>
        </w:tc>
        <w:tc>
          <w:tcPr>
            <w:tcW w:type="dxa" w:w="5814"/>
          </w:tcPr>
          <w:p>
            <w:pPr>
              <w:pStyle w:val="null3"/>
              <w:jc w:val="both"/>
            </w:pPr>
            <w:r>
              <w:rPr>
                <w:sz w:val="24"/>
                <w:b/>
              </w:rPr>
              <w:t>六、成果报送与审查规定</w:t>
            </w:r>
          </w:p>
          <w:p>
            <w:pPr>
              <w:pStyle w:val="null3"/>
              <w:ind w:firstLine="420"/>
              <w:jc w:val="both"/>
            </w:pPr>
            <w:r>
              <w:rPr>
                <w:sz w:val="24"/>
                <w:color w:val="000000"/>
              </w:rPr>
              <w:t>（一）成果内容必须符合本采购需求中的规定，实现本次规划工作的目标。采购人负责对成果进行技术审查；中标人负责提供审查所必需的汇报资料和方案介绍。</w:t>
            </w:r>
          </w:p>
          <w:p>
            <w:pPr>
              <w:pStyle w:val="null3"/>
              <w:ind w:firstLine="420"/>
              <w:jc w:val="both"/>
            </w:pPr>
            <w:r>
              <w:rPr>
                <w:sz w:val="24"/>
                <w:color w:val="000000"/>
              </w:rPr>
              <w:t>（二）审查报送的汇报成果资料应按要求的成果套数进行制作。</w:t>
            </w:r>
          </w:p>
          <w:p>
            <w:pPr>
              <w:pStyle w:val="null3"/>
              <w:ind w:firstLine="420"/>
              <w:jc w:val="both"/>
            </w:pPr>
            <w:r>
              <w:rPr>
                <w:sz w:val="24"/>
                <w:color w:val="000000"/>
              </w:rPr>
              <w:t>（三）工作提交的正式规划成果必须加注委托单位名称、技术协编单位名称、设计单位名称及法人代表、项目负责人、设计人员和协编人员名单，并加盖设计单位公章和城市规划设计出图专用章。由采购人组织对所有相关成果进行最终成果验收。</w:t>
            </w:r>
          </w:p>
          <w:p>
            <w:pPr>
              <w:pStyle w:val="null3"/>
              <w:ind w:firstLine="420"/>
              <w:jc w:val="both"/>
            </w:pPr>
            <w:r>
              <w:rPr>
                <w:sz w:val="24"/>
                <w:color w:val="000000"/>
              </w:rPr>
              <w:t>（四）中标人应按约定时间报送成果文件至采购人单位，经清点文件后签收登记。</w:t>
            </w:r>
          </w:p>
          <w:p>
            <w:pPr>
              <w:pStyle w:val="null3"/>
              <w:ind w:firstLine="420"/>
              <w:jc w:val="both"/>
            </w:pPr>
            <w:r>
              <w:rPr>
                <w:sz w:val="24"/>
                <w:color w:val="000000"/>
              </w:rPr>
              <w:t>（五）按照采购人要求，支付相应的项目文本打印、审查等相关费用。</w:t>
            </w:r>
          </w:p>
        </w:tc>
      </w:tr>
      <w:tr>
        <w:tc>
          <w:tcPr>
            <w:tcW w:type="dxa" w:w="2076"/>
          </w:tcPr>
          <w:p/>
        </w:tc>
        <w:tc>
          <w:tcPr>
            <w:tcW w:type="dxa" w:w="415"/>
          </w:tcPr>
          <w:p>
            <w:pPr>
              <w:pStyle w:val="null3"/>
            </w:pPr>
            <w:r>
              <w:rPr/>
              <w:t>7</w:t>
            </w:r>
          </w:p>
        </w:tc>
        <w:tc>
          <w:tcPr>
            <w:tcW w:type="dxa" w:w="5814"/>
          </w:tcPr>
          <w:p>
            <w:pPr>
              <w:pStyle w:val="null3"/>
              <w:jc w:val="both"/>
            </w:pPr>
            <w:r>
              <w:rPr>
                <w:sz w:val="24"/>
                <w:b/>
                <w:color w:val="000000"/>
              </w:rPr>
              <w:t>七、工作进度安排</w:t>
            </w:r>
          </w:p>
          <w:p>
            <w:pPr>
              <w:pStyle w:val="null3"/>
              <w:ind w:firstLine="420"/>
              <w:jc w:val="left"/>
            </w:pPr>
            <w:r>
              <w:rPr>
                <w:sz w:val="24"/>
                <w:color w:val="000000"/>
              </w:rPr>
              <w:t>本次工作分四个阶段，自合同签订日起12个月内完成，具体安排如下：</w:t>
            </w:r>
          </w:p>
          <w:p>
            <w:pPr>
              <w:pStyle w:val="null3"/>
              <w:ind w:firstLine="420"/>
              <w:jc w:val="both"/>
            </w:pPr>
            <w:r>
              <w:rPr>
                <w:sz w:val="24"/>
                <w:color w:val="000000"/>
              </w:rPr>
              <w:t>（一）完成准备工作及现状调研（1个月）。通过资料收集、现场调研、座谈走访、网络查询等多种形式，对增城区现状基础条件、发展要素、现有规划进行深入了解，明确本次战略规划技术路线与重点方向。</w:t>
            </w:r>
          </w:p>
          <w:p>
            <w:pPr>
              <w:pStyle w:val="null3"/>
              <w:ind w:firstLine="420"/>
              <w:jc w:val="both"/>
            </w:pPr>
            <w:r>
              <w:rPr>
                <w:sz w:val="24"/>
                <w:color w:val="000000"/>
              </w:rPr>
              <w:t>（二）完成规划初步成果（1个月）。编制并提交规划初步成果，形成向上级相关部门沟通汇报的材料，推动将增城区融湾发展诉求纳入省黄金内湾规划。</w:t>
            </w:r>
          </w:p>
          <w:p>
            <w:pPr>
              <w:pStyle w:val="null3"/>
              <w:ind w:firstLine="420"/>
              <w:jc w:val="both"/>
            </w:pPr>
            <w:r>
              <w:rPr>
                <w:sz w:val="24"/>
                <w:color w:val="000000"/>
              </w:rPr>
              <w:t>（三）完成规划中期成果（3个月）。修改完善初步方案形成中期成果，开展专家咨询、相关部门意见征询等。</w:t>
            </w:r>
          </w:p>
          <w:p>
            <w:pPr>
              <w:pStyle w:val="null3"/>
              <w:ind w:firstLine="420"/>
              <w:jc w:val="both"/>
            </w:pPr>
            <w:r>
              <w:rPr>
                <w:sz w:val="24"/>
                <w:color w:val="000000"/>
              </w:rPr>
              <w:t>（四）完成最终成果编制及审查验收（7个月）。编制最终成果，由采购人组织审查，按照有关意见修改完善后，提交正式的终审成果至采购人确认验收。</w:t>
            </w:r>
          </w:p>
          <w:p>
            <w:pPr>
              <w:pStyle w:val="null3"/>
              <w:ind w:firstLine="420"/>
              <w:jc w:val="both"/>
            </w:pPr>
            <w:r>
              <w:rPr>
                <w:sz w:val="24"/>
                <w:color w:val="000000"/>
              </w:rPr>
              <w:t>采购人与中标人经双方协商同意后可对时间节点进行适当调整。</w:t>
            </w:r>
          </w:p>
        </w:tc>
      </w:tr>
      <w:tr>
        <w:tc>
          <w:tcPr>
            <w:tcW w:type="dxa" w:w="2076"/>
          </w:tcPr>
          <w:p/>
        </w:tc>
        <w:tc>
          <w:tcPr>
            <w:tcW w:type="dxa" w:w="415"/>
          </w:tcPr>
          <w:p>
            <w:pPr>
              <w:pStyle w:val="null3"/>
            </w:pPr>
            <w:r>
              <w:rPr/>
              <w:t>8</w:t>
            </w:r>
          </w:p>
        </w:tc>
        <w:tc>
          <w:tcPr>
            <w:tcW w:type="dxa" w:w="5814"/>
          </w:tcPr>
          <w:p>
            <w:pPr>
              <w:pStyle w:val="null3"/>
              <w:jc w:val="both"/>
            </w:pPr>
            <w:r>
              <w:rPr>
                <w:sz w:val="24"/>
                <w:b/>
              </w:rPr>
              <w:t>八、附则</w:t>
            </w:r>
          </w:p>
          <w:p>
            <w:pPr>
              <w:pStyle w:val="null3"/>
              <w:ind w:firstLine="420"/>
              <w:jc w:val="both"/>
            </w:pPr>
            <w:r>
              <w:rPr>
                <w:sz w:val="24"/>
                <w:color w:val="000000"/>
              </w:rPr>
              <w:t>（一）成果文件有下列情况之一者无效：提交的成果文件不符合本采购需求规定的成果内容和格式；无填充完整的单位图签；未盖有中标人公章或出图章；未经采购人同意而逾期送达；图纸和文字辨认不清、内容不全、粗制滥造的。</w:t>
            </w:r>
          </w:p>
          <w:p>
            <w:pPr>
              <w:pStyle w:val="null3"/>
              <w:ind w:firstLine="420"/>
              <w:jc w:val="both"/>
            </w:pPr>
            <w:r>
              <w:rPr>
                <w:sz w:val="24"/>
                <w:color w:val="000000"/>
              </w:rPr>
              <w:t>（二）本采购需求解释权归</w:t>
            </w:r>
            <w:r>
              <w:rPr>
                <w:sz w:val="24"/>
              </w:rPr>
              <w:t>广州市规划和自然资源局增城区分局</w:t>
            </w:r>
            <w:r>
              <w:rPr>
                <w:sz w:val="24"/>
                <w:color w:val="000000"/>
              </w:rPr>
              <w:t>所有。</w:t>
            </w:r>
          </w:p>
        </w:tc>
      </w:tr>
      <w:tr>
        <w:tc>
          <w:tcPr>
            <w:tcW w:type="dxa" w:w="2076"/>
          </w:tcPr>
          <w:p/>
        </w:tc>
        <w:tc>
          <w:tcPr>
            <w:tcW w:type="dxa" w:w="415"/>
          </w:tcPr>
          <w:p>
            <w:pPr>
              <w:pStyle w:val="null3"/>
            </w:pPr>
            <w:r>
              <w:rPr/>
              <w:t>9</w:t>
            </w:r>
          </w:p>
        </w:tc>
        <w:tc>
          <w:tcPr>
            <w:tcW w:type="dxa" w:w="5814"/>
          </w:tcPr>
          <w:p>
            <w:pPr>
              <w:pStyle w:val="null3"/>
              <w:jc w:val="both"/>
            </w:pPr>
            <w:r>
              <w:rPr>
                <w:sz w:val="24"/>
                <w:b/>
              </w:rPr>
              <w:t>九、其他要求</w:t>
            </w:r>
          </w:p>
          <w:p>
            <w:pPr>
              <w:pStyle w:val="null3"/>
              <w:ind w:firstLine="420"/>
              <w:jc w:val="both"/>
            </w:pPr>
            <w:r>
              <w:rPr>
                <w:sz w:val="24"/>
                <w:color w:val="000000"/>
              </w:rPr>
              <w:t>1</w:t>
            </w:r>
            <w:r>
              <w:rPr>
                <w:sz w:val="24"/>
                <w:color w:val="000000"/>
              </w:rPr>
              <w:t>、对项目背景的理解</w:t>
            </w:r>
          </w:p>
          <w:p>
            <w:pPr>
              <w:pStyle w:val="null3"/>
              <w:ind w:firstLine="420"/>
              <w:jc w:val="both"/>
            </w:pPr>
            <w:r>
              <w:rPr>
                <w:sz w:val="24"/>
                <w:color w:val="000000"/>
              </w:rPr>
              <w:t>投标人需要充分理解和掌握项目背景、相关政策、工作内容、工作目标情况等，协同广东省、广州市及周边区域关于省“黄金内湾”规划建设的谋划部署，对项目背景的解读及理解，内容包括项目背景</w:t>
            </w:r>
            <w:r>
              <w:rPr>
                <w:sz w:val="24"/>
              </w:rPr>
              <w:t>、发展趋势</w:t>
            </w:r>
            <w:r>
              <w:rPr>
                <w:sz w:val="24"/>
                <w:color w:val="000000"/>
              </w:rPr>
              <w:t>、目标意义。</w:t>
            </w:r>
          </w:p>
          <w:p>
            <w:pPr>
              <w:pStyle w:val="null3"/>
              <w:ind w:firstLine="420"/>
              <w:jc w:val="both"/>
            </w:pPr>
            <w:r>
              <w:rPr>
                <w:sz w:val="24"/>
                <w:color w:val="000000"/>
              </w:rPr>
              <w:t>2</w:t>
            </w:r>
            <w:r>
              <w:rPr>
                <w:sz w:val="24"/>
                <w:color w:val="000000"/>
              </w:rPr>
              <w:t>、对现状特征的解读</w:t>
            </w:r>
          </w:p>
          <w:p>
            <w:pPr>
              <w:pStyle w:val="null3"/>
              <w:ind w:firstLine="420"/>
              <w:jc w:val="both"/>
            </w:pPr>
            <w:r>
              <w:rPr>
                <w:sz w:val="24"/>
                <w:color w:val="000000"/>
              </w:rPr>
              <w:t>投标人对增城区及本项目的现状条件进行分析及解读，内容上</w:t>
            </w:r>
            <w:r>
              <w:rPr>
                <w:sz w:val="24"/>
              </w:rPr>
              <w:t>结合“黄金内湾”</w:t>
            </w:r>
            <w:r>
              <w:rPr>
                <w:sz w:val="24"/>
                <w:color w:val="000000"/>
              </w:rPr>
              <w:t>研判增城优势与挑战，充分挖掘增城区域发展价值与定位，包括但不仅限于对资源条件、地形地貌、人口与经济、设施情况分析等4项内容。</w:t>
            </w:r>
          </w:p>
          <w:p>
            <w:pPr>
              <w:pStyle w:val="null3"/>
              <w:ind w:firstLine="420"/>
              <w:jc w:val="both"/>
            </w:pPr>
            <w:r>
              <w:rPr>
                <w:sz w:val="24"/>
                <w:color w:val="000000"/>
              </w:rPr>
              <w:t>3</w:t>
            </w:r>
            <w:r>
              <w:rPr>
                <w:sz w:val="24"/>
                <w:color w:val="000000"/>
              </w:rPr>
              <w:t>、对上位规划及相关规划的认识</w:t>
            </w:r>
          </w:p>
          <w:p>
            <w:pPr>
              <w:pStyle w:val="null3"/>
              <w:ind w:firstLine="420"/>
              <w:jc w:val="both"/>
            </w:pPr>
            <w:r>
              <w:rPr>
                <w:sz w:val="24"/>
                <w:color w:val="000000"/>
              </w:rPr>
              <w:t>投标人对增城区及本项目的规划情况进行分析，内容包括但不仅限于对①环南昆山-罗浮山县镇村高质量发展引领区规划、广州东部中心总体规划、增城区国土空间总体规划②相关控制性详细规划③重点平台及重点产业园区的规划研究④专项规划等内容。</w:t>
            </w:r>
          </w:p>
          <w:p>
            <w:pPr>
              <w:pStyle w:val="null3"/>
              <w:ind w:firstLine="420"/>
              <w:jc w:val="both"/>
            </w:pPr>
            <w:r>
              <w:rPr>
                <w:sz w:val="24"/>
                <w:color w:val="000000"/>
              </w:rPr>
              <w:t>4</w:t>
            </w:r>
            <w:r>
              <w:rPr>
                <w:sz w:val="24"/>
                <w:color w:val="000000"/>
              </w:rPr>
              <w:t>、技术路线和工作思路</w:t>
            </w:r>
          </w:p>
          <w:p>
            <w:pPr>
              <w:pStyle w:val="null3"/>
              <w:ind w:firstLine="420"/>
              <w:jc w:val="both"/>
            </w:pPr>
            <w:r>
              <w:rPr>
                <w:sz w:val="24"/>
                <w:color w:val="000000"/>
              </w:rPr>
              <w:t>投标人针对本项目制定的项目技术路线、工作思路方案，符合《中华人民共和国城乡规划法》等现行的国家和地方有关法律、法规以及相关规范的技术要求。</w:t>
            </w:r>
          </w:p>
          <w:p>
            <w:pPr>
              <w:pStyle w:val="null3"/>
              <w:ind w:firstLine="420"/>
              <w:jc w:val="both"/>
            </w:pPr>
            <w:r>
              <w:rPr>
                <w:sz w:val="24"/>
                <w:color w:val="000000"/>
              </w:rPr>
              <w:t>5</w:t>
            </w:r>
            <w:r>
              <w:rPr>
                <w:sz w:val="24"/>
                <w:color w:val="000000"/>
              </w:rPr>
              <w:t>、研究成果内容</w:t>
            </w:r>
          </w:p>
          <w:p>
            <w:pPr>
              <w:pStyle w:val="null3"/>
              <w:ind w:firstLine="420"/>
              <w:jc w:val="both"/>
            </w:pPr>
            <w:r>
              <w:rPr>
                <w:sz w:val="24"/>
                <w:color w:val="000000"/>
              </w:rPr>
              <w:t>投标人提供对本项目的研究成果内容设想方案，内容上需要</w:t>
            </w:r>
            <w:r>
              <w:rPr>
                <w:sz w:val="24"/>
              </w:rPr>
              <w:t>明确“黄金内湾”格局下增城发展的定位及空间框架，</w:t>
            </w:r>
            <w:r>
              <w:rPr>
                <w:sz w:val="24"/>
                <w:color w:val="000000"/>
              </w:rPr>
              <w:t>谋划一批能够纳入省“黄金内湾”规划的重要战略地区、重大平台、重大基础设施和改革创新试验做法，更好服务增城加快融入国际一流湾区和世界级城市群建设，助力打造广州高质量发展动力源，包括但不限于成果内容的</w:t>
            </w:r>
            <w:r>
              <w:rPr>
                <w:sz w:val="24"/>
              </w:rPr>
              <w:t>目标定位、空间格局、园区升级、枢纽强化、品质提升等5</w:t>
            </w:r>
            <w:r>
              <w:rPr>
                <w:sz w:val="24"/>
                <w:color w:val="000000"/>
              </w:rPr>
              <w:t>项内容。</w:t>
            </w:r>
          </w:p>
          <w:p>
            <w:pPr>
              <w:pStyle w:val="null3"/>
              <w:ind w:firstLine="420"/>
              <w:jc w:val="both"/>
            </w:pPr>
            <w:r>
              <w:rPr>
                <w:sz w:val="24"/>
                <w:color w:val="000000"/>
              </w:rPr>
              <w:t>本项目为开展增城区融入“黄金内湾”高质量发展重大平台、重大基础设施项目前期策划工作。由于规划设计需要考虑到很多外部因素，比如政策、经济、社会、环境等，实施本项目的技术要求较高，投标人需就本项目的重点、难点问题进行分析，并明确工作思路及解决措施。</w:t>
            </w:r>
          </w:p>
          <w:p>
            <w:pPr>
              <w:pStyle w:val="null3"/>
              <w:ind w:firstLine="420"/>
              <w:jc w:val="both"/>
            </w:pPr>
            <w:r>
              <w:rPr>
                <w:sz w:val="24"/>
                <w:color w:val="000000"/>
              </w:rPr>
              <w:t>6</w:t>
            </w:r>
            <w:r>
              <w:rPr>
                <w:sz w:val="24"/>
                <w:color w:val="000000"/>
              </w:rPr>
              <w:t>、工作计划安排和项目实施保障</w:t>
            </w:r>
          </w:p>
          <w:p>
            <w:pPr>
              <w:pStyle w:val="null3"/>
              <w:ind w:firstLine="420"/>
              <w:jc w:val="both"/>
            </w:pPr>
            <w:r>
              <w:rPr>
                <w:sz w:val="24"/>
                <w:color w:val="000000"/>
              </w:rPr>
              <w:t>投标人针对本项目制定的工作计划安排和项目实施保障措施方案，内容包括但不限于实施进度计划、实施保障措施、成果进度、质量控制措施4项内容。</w:t>
            </w:r>
          </w:p>
          <w:p>
            <w:pPr>
              <w:pStyle w:val="null3"/>
              <w:ind w:firstLine="420"/>
              <w:jc w:val="both"/>
            </w:pPr>
            <w:r>
              <w:rPr>
                <w:sz w:val="24"/>
                <w:color w:val="000000"/>
              </w:rPr>
              <w:t>7</w:t>
            </w:r>
            <w:r>
              <w:rPr>
                <w:sz w:val="24"/>
                <w:color w:val="000000"/>
              </w:rPr>
              <w:t>、人员团队要求</w:t>
            </w:r>
          </w:p>
          <w:p>
            <w:pPr>
              <w:pStyle w:val="null3"/>
              <w:ind w:firstLine="420"/>
              <w:jc w:val="both"/>
            </w:pPr>
            <w:r>
              <w:rPr>
                <w:sz w:val="24"/>
                <w:color w:val="000000"/>
              </w:rPr>
              <w:t>投标人应为本项目成立项目团队，并明确项目负责人。项目负责人及团队成员应满足以下要求：</w:t>
            </w:r>
          </w:p>
          <w:p>
            <w:pPr>
              <w:pStyle w:val="null3"/>
              <w:ind w:firstLine="420"/>
              <w:jc w:val="both"/>
            </w:pPr>
            <w:r>
              <w:rPr>
                <w:sz w:val="24"/>
                <w:color w:val="000000"/>
              </w:rPr>
              <w:t>（1）项目负责人需具有高级工程师或以上自然资源领域（含国土、城乡（市）规划）类的技术职称。6年及以上工作经验（以获取国土、城乡（市）规划专业职称的日期起计算）。</w:t>
            </w:r>
          </w:p>
          <w:p>
            <w:pPr>
              <w:pStyle w:val="null3"/>
              <w:ind w:firstLine="420"/>
              <w:jc w:val="both"/>
            </w:pPr>
            <w:r>
              <w:rPr>
                <w:sz w:val="24"/>
                <w:color w:val="000000"/>
              </w:rPr>
              <w:t>（2）投标人参与本项目的主要人员（不含项目负责人）应不少于9人，具有城乡（市）规划、国土、经济、信息管理、道路与桥梁等专业相关类型的技术职称。</w:t>
            </w:r>
          </w:p>
          <w:p>
            <w:pPr>
              <w:pStyle w:val="null3"/>
              <w:ind w:firstLine="420"/>
              <w:jc w:val="both"/>
            </w:pPr>
            <w:r>
              <w:rPr>
                <w:sz w:val="24"/>
                <w:color w:val="000000"/>
              </w:rPr>
              <w:t>（3）在合同履行期间，项目负责人及主要人员与投标时响应的人员一致，不得更换。若因不可抗力（如离职、健康问题等）原因确需更换的，应当提前10个工作日以书面形式向采购人提出，征得采购人同意后方可进行人员更换，更换后的人员的专业资格、能力等不得低于原人员。未及时通知并影响本合同履行或造成损失，应承担相应责任。（投标时需提交书面承诺）</w:t>
            </w:r>
          </w:p>
          <w:p>
            <w:pPr>
              <w:pStyle w:val="null3"/>
              <w:ind w:firstLine="420"/>
              <w:jc w:val="both"/>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1.采购代理机构：本项目是指广州程启招标代理有限公司，负责整个采购活动的组织，依法负责编制和发布招标文件，对招标文件拥有最终的解释权，不以任何身份出任评标委员会成员。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广州市规划和自然资源局增城区分局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兼投兼中：本项目不适用。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采购机构代理服务收费标准：中标人须向采购代理机构交纳的代理服务费，本项目的代理服务费采用差额定率累进法计算收取： （1）以项目的预算金额作为收费的计算基数； （2）预算金额在100万以下的，代理服务费按1.5%计算；101万到500万的，按0.8%计算…… （3）代理服务收费按差额定率累进法计算； （4）代理服务费币种与《中标通知书》的币种相同； （5）中标人在领取《中标通知书》时，必须按《采购代理服务费支付承诺书》向采购代理机构直接交纳代理服务费。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广州程启招标代理有限公司网（www.gzcqc.com）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广州程启招标代理有限公司网（www.gzcqc.com）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朱小姐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政府采购监督管理机构名称：广州市增城区财政局（政府采购管理办公室）</w:t>
      </w:r>
    </w:p>
    <w:p>
      <w:pPr>
        <w:pStyle w:val="null3"/>
      </w:pPr>
      <w:r>
        <w:rPr/>
        <w:t>地 址：广州市增城区荔城街荔乡路21号</w:t>
      </w:r>
    </w:p>
    <w:p>
      <w:pPr>
        <w:pStyle w:val="null3"/>
      </w:pPr>
      <w:r>
        <w:rPr/>
        <w:t>电 话：020-82623117、020-82656610</w:t>
      </w:r>
    </w:p>
    <w:p>
      <w:pPr>
        <w:pStyle w:val="null3"/>
      </w:pPr>
      <w:r>
        <w:rPr/>
        <w:t>邮 编：511300</w:t>
      </w:r>
    </w:p>
    <w:p>
      <w:pPr>
        <w:pStyle w:val="null3"/>
      </w:pPr>
      <w:r>
        <w:rPr/>
        <w:t>传 真：020-82622883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增城区融入“黄金内湾”高质量发展重大平台、重大基础设施项目前期策划)：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广州程启招标代理有限公司</w:t>
      </w:r>
      <w:r>
        <w:rPr/>
        <w:t>统一对外发布。</w:t>
      </w:r>
    </w:p>
    <w:p>
      <w:pPr>
        <w:pStyle w:val="null3"/>
        <w:ind w:firstLine="480"/>
      </w:pPr>
      <w:r>
        <w:rPr/>
        <w:t>（2）对</w:t>
      </w:r>
      <w:r>
        <w:rPr/>
        <w:t>广州程启招标代理有限公司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采购包1（增城区融入“黄金内湾”高质量发展重大平台、重大基础设施项目前期策划）：</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小型、微型企业，监狱企业，残疾人福利性单位</w:t>
            </w:r>
          </w:p>
        </w:tc>
        <w:tc>
          <w:tcPr>
            <w:tcW w:type="dxa" w:w="2160"/>
          </w:tcPr>
          <w:p>
            <w:pPr>
              <w:pStyle w:val="null3"/>
            </w:pPr>
            <w:r>
              <w:rPr/>
              <w:t>投标（响应）供应商为大中型企业与小微企业组成联合体或者大中型企业向一家或者多家小微企业分包的，对于联合体协议或者分包意向协议约定小微企业的合同份额占到合同总金额30%以上</w:t>
            </w:r>
          </w:p>
        </w:tc>
        <w:tc>
          <w:tcPr>
            <w:tcW w:type="dxa" w:w="1246"/>
          </w:tcPr>
          <w:p>
            <w:pPr>
              <w:pStyle w:val="null3"/>
            </w:pPr>
            <w:r>
              <w:rPr/>
              <w:t>4%</w:t>
            </w:r>
          </w:p>
        </w:tc>
        <w:tc>
          <w:tcPr>
            <w:tcW w:type="dxa" w:w="2160"/>
          </w:tcPr>
          <w:p>
            <w:pPr>
              <w:pStyle w:val="null3"/>
              <w:jc w:val="left"/>
            </w:pPr>
            <w:r>
              <w:rPr/>
              <w:t>大中型企业与小微企业组成联合体或者允许大中型企业向一家或者多家小微企业分包的采购项目，对于联合协议或者分包意向协议约定小微企业的合同份额占到合同总金额 30%以上的，报价给予价格扣除C1，即：评标价=投标报价×（1-C1）；监狱企业与残疾人福利性单位视同小型、微型企业，享受同等价格扣除，当企业属性重复时，不重复价格扣除。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采购包1（增城区融入“黄金内湾”高质量发展重大平台、重大基础设施项目前期策划）：</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存在任一级人民政府财政部门作出“禁止参加政府采购活动”行政处罚决定且处罚期限未届满的，不得参加政府采购活动。</w:t>
            </w:r>
          </w:p>
        </w:tc>
        <w:tc>
          <w:tcPr>
            <w:tcW w:type="dxa" w:w="4238"/>
          </w:tcPr>
          <w:p>
            <w:pPr>
              <w:pStyle w:val="null3"/>
            </w:pPr>
            <w:r>
              <w:rPr/>
              <w:t>存在任一级人民政府财政部门作出“禁止参加政府采购活动”行政处罚决定且处罚期限未届满的，不得参加政府采购活动。（提供《声明函》，格式自拟）</w:t>
            </w:r>
          </w:p>
        </w:tc>
      </w:tr>
      <w:tr>
        <w:tc>
          <w:tcPr>
            <w:tcW w:type="dxa" w:w="890"/>
          </w:tcPr>
          <w:p>
            <w:pPr>
              <w:pStyle w:val="null3"/>
            </w:pPr>
            <w:r>
              <w:rPr/>
              <w:t>10</w:t>
            </w:r>
          </w:p>
        </w:tc>
        <w:tc>
          <w:tcPr>
            <w:tcW w:type="dxa" w:w="3178"/>
          </w:tcPr>
          <w:p>
            <w:pPr>
              <w:pStyle w:val="null3"/>
            </w:pPr>
            <w:r>
              <w:rPr/>
              <w:t>投标人须具备城乡规划编制乙级或以上资质。</w:t>
            </w:r>
          </w:p>
        </w:tc>
        <w:tc>
          <w:tcPr>
            <w:tcW w:type="dxa" w:w="4238"/>
          </w:tcPr>
          <w:p>
            <w:pPr>
              <w:pStyle w:val="null3"/>
            </w:pPr>
            <w:r>
              <w:rPr/>
              <w:t>投标人须具备城乡规划编制乙级或以上资质。（根据《自然资源部办公厅关于城乡规划编制单位甲级资质证书延期有关事宜的通知》的规定，有效期至2023年12月31日的城乡规划编制单位甲级资质证书，有效期延长至2025年12月31日。如相关主管部门有最新政策，按最新政策执行）。（提供证书复印件）</w:t>
            </w:r>
          </w:p>
        </w:tc>
      </w:tr>
      <w:tr>
        <w:tc>
          <w:tcPr>
            <w:tcW w:type="dxa" w:w="890"/>
          </w:tcPr>
          <w:p>
            <w:pPr>
              <w:pStyle w:val="null3"/>
            </w:pPr>
            <w:r>
              <w:rPr/>
              <w:t>11</w:t>
            </w:r>
          </w:p>
        </w:tc>
        <w:tc>
          <w:tcPr>
            <w:tcW w:type="dxa" w:w="3178"/>
          </w:tcPr>
          <w:p>
            <w:pPr>
              <w:pStyle w:val="null3"/>
            </w:pPr>
            <w:r>
              <w:rPr/>
              <w:t>本项目接受联合体投标。</w:t>
            </w:r>
          </w:p>
        </w:tc>
        <w:tc>
          <w:tcPr>
            <w:tcW w:type="dxa" w:w="4238"/>
          </w:tcPr>
          <w:p>
            <w:pPr>
              <w:pStyle w:val="null3"/>
            </w:pPr>
            <w:r>
              <w:rPr/>
              <w:t>本项目接受联合体投标。如以联合体形式参与投标，联合体各方不得再单独参加或者与其他供应商另外组成联合体参加本项目投标。联合体成员必须各方共同签署《联合体共同投标协议书》，明确分工。且投标时必须提交《联合体共同投标协议书》。</w:t>
            </w:r>
          </w:p>
        </w:tc>
      </w:tr>
      <w:tr>
        <w:tc>
          <w:tcPr>
            <w:tcW w:type="dxa" w:w="890"/>
          </w:tcPr>
          <w:p>
            <w:pPr>
              <w:pStyle w:val="null3"/>
            </w:pPr>
            <w:r>
              <w:rPr/>
              <w:t>12</w:t>
            </w:r>
          </w:p>
        </w:tc>
        <w:tc>
          <w:tcPr>
            <w:tcW w:type="dxa" w:w="3178"/>
          </w:tcPr>
          <w:p>
            <w:pPr>
              <w:pStyle w:val="null3"/>
            </w:pPr>
            <w:r>
              <w:rPr/>
              <w:t>落实政府采购政策需满足的资格要求</w:t>
            </w:r>
          </w:p>
        </w:tc>
        <w:tc>
          <w:tcPr>
            <w:tcW w:type="dxa" w:w="4238"/>
          </w:tcPr>
          <w:p>
            <w:pPr>
              <w:pStyle w:val="null3"/>
            </w:pPr>
            <w:r>
              <w:rPr/>
              <w:t>根据《政府采购促进中小企业发展管理办法》的规定，本项目属于“按照本办法规定预留采购份额无法确保充分供应、充分竞争，或者存在可能影响政府采购目标实现的情形”，本项目不属于专门面向中小企业采购的项目。</w:t>
            </w:r>
          </w:p>
        </w:tc>
      </w:tr>
    </w:tbl>
    <w:p>
      <w:pPr>
        <w:pStyle w:val="null3"/>
        <w:ind w:firstLine="480"/>
      </w:pPr>
      <w:r>
        <w:rPr/>
        <w:t>表二符合性审查表：</w:t>
      </w:r>
    </w:p>
    <w:p>
      <w:pPr>
        <w:pStyle w:val="null3"/>
      </w:pPr>
      <w:r>
        <w:rPr/>
        <w:t>采购包1（增城区融入“黄金内湾”高质量发展重大平台、重大基础设施项目前期策划）：</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合同履行期限要求</w:t>
            </w:r>
          </w:p>
        </w:tc>
        <w:tc>
          <w:tcPr>
            <w:tcW w:type="dxa" w:w="4238"/>
          </w:tcPr>
          <w:p>
            <w:pPr>
              <w:pStyle w:val="null3"/>
            </w:pPr>
            <w:r>
              <w:rPr/>
              <w:t>是否满足项目的合同履行期限要求。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投标报价未超过本项目最高限价</w:t>
            </w:r>
          </w:p>
        </w:tc>
        <w:tc>
          <w:tcPr>
            <w:tcW w:type="dxa" w:w="4238"/>
          </w:tcPr>
          <w:p>
            <w:pPr>
              <w:pStyle w:val="null3"/>
            </w:pPr>
            <w:r>
              <w:rPr/>
              <w:t>投标报价是否固定唯一，且投标报价没有超过最高限价。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采购包1(增城区融入“黄金内湾”高质量发展重大平台、重大基础设施项目前期策划):</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对项目背景及趋势的理解程度 (6.5分)</w:t>
            </w:r>
          </w:p>
        </w:tc>
        <w:tc>
          <w:tcPr>
            <w:tcW w:type="dxa" w:w="5076"/>
          </w:tcPr>
          <w:p>
            <w:pPr>
              <w:pStyle w:val="null3"/>
              <w:jc w:val="left"/>
            </w:pPr>
            <w:r>
              <w:rPr/>
              <w:t>一、根据投标人对本项目的背景理解程度进行评审：内容包括对项目背景、发展趋势、目标意义3项内容。每含一项得0.5分，最高得1.5分。 二、协同广东省、广州市及周边区域关于“黄金内湾”规划建设的谋划部署，对项目背景、发展趋势的解读及理解的深入程度进行评审： 1、对工作背景、发展趋势、目标意义理解准确，框架结构清晰，体系完善，对该项目解读准确且思路明确，完全满足且优于采购需求的，得5分； 2、框架结构清晰，能准确理解项目意图，但内容较为简单，满足采购需求的，得3分； 3、框架结构简单，对项目深度理解比较准确，部分满足采购需求的，得1分； 4、无提供或其他不得分。</w:t>
            </w:r>
          </w:p>
        </w:tc>
      </w:tr>
      <w:tr>
        <w:tc>
          <w:tcPr>
            <w:tcW w:type="dxa" w:w="922"/>
            <w:gridSpan w:val="2"/>
            <w:vMerge/>
          </w:tcPr>
          <w:p/>
        </w:tc>
        <w:tc>
          <w:tcPr>
            <w:tcW w:type="dxa" w:w="2307"/>
          </w:tcPr>
          <w:p>
            <w:pPr>
              <w:pStyle w:val="null3"/>
              <w:jc w:val="left"/>
            </w:pPr>
            <w:r>
              <w:rPr/>
              <w:t>对现状特征的解读 (12.0分)</w:t>
            </w:r>
          </w:p>
        </w:tc>
        <w:tc>
          <w:tcPr>
            <w:tcW w:type="dxa" w:w="5076"/>
          </w:tcPr>
          <w:p>
            <w:pPr>
              <w:pStyle w:val="null3"/>
              <w:jc w:val="left"/>
            </w:pPr>
            <w:r>
              <w:rPr/>
              <w:t>一、根据投标人对增城区及本项目的现状条件理解程度进行评审：内容上结合“黄金内湾”研判增城优势与挑战，充分挖掘增城区域发展价值与定位，包括但不仅限于对资源条件、地形地貌、人口与经济、设施情况分析等4项内容。每含一项得0.5分，最高得2分。 二、对项目特征的解读及理解的深入程度进行评审： 1、对增城区及本项目的现状特征解读准确且思路明确，完全满足且优于采购需求的，得10分； 2、能准确解读增城区及本项目的现状特征，但内容较为简单，满足采购需求的，得6分； 3、对增城区及本项目的部分现状特征解读准确，部分满足采购需求的，得2分； 4、无提供或其他不得分。</w:t>
            </w:r>
          </w:p>
        </w:tc>
      </w:tr>
      <w:tr>
        <w:tc>
          <w:tcPr>
            <w:tcW w:type="dxa" w:w="922"/>
            <w:gridSpan w:val="2"/>
            <w:vMerge/>
          </w:tcPr>
          <w:p/>
        </w:tc>
        <w:tc>
          <w:tcPr>
            <w:tcW w:type="dxa" w:w="2307"/>
          </w:tcPr>
          <w:p>
            <w:pPr>
              <w:pStyle w:val="null3"/>
              <w:jc w:val="left"/>
            </w:pPr>
            <w:r>
              <w:rPr/>
              <w:t>对上位规划及相关规划的认识程度 (10.0分)</w:t>
            </w:r>
          </w:p>
        </w:tc>
        <w:tc>
          <w:tcPr>
            <w:tcW w:type="dxa" w:w="5076"/>
          </w:tcPr>
          <w:p>
            <w:pPr>
              <w:pStyle w:val="null3"/>
              <w:jc w:val="left"/>
            </w:pPr>
            <w:r>
              <w:rPr/>
              <w:t>一、根据投标人对增城区及本项目的规划情况理解程度进行评审：内容包括但不仅限于对①环南昆山-罗浮山县镇村高质量发展引领区规划、广州东部中心总体规划、增城区国土空间总体规划②相关控制性详细规划③重点平台及重点产业园区的规划研究④专项规划等内容。每含一项得0.5分，最高得2分。 二、对上位规划及相关规划的认识程度进行评审： 1、对增城区及本项目的规划情况的理解认识完整全面、深刻、准确，完全满足且优于采购需求的，得8分； 2、能理解认识增城区及本项目的规划情况，但内容较为简单，满足采购需求的，得5分； 3、对增城区及本项目的规划情况的理解认识有缺漏，部分满足采购需求的，得2分； 4、无提供或其他不得分。</w:t>
            </w:r>
          </w:p>
        </w:tc>
      </w:tr>
      <w:tr>
        <w:tc>
          <w:tcPr>
            <w:tcW w:type="dxa" w:w="922"/>
            <w:gridSpan w:val="2"/>
            <w:vMerge/>
          </w:tcPr>
          <w:p/>
        </w:tc>
        <w:tc>
          <w:tcPr>
            <w:tcW w:type="dxa" w:w="2307"/>
          </w:tcPr>
          <w:p>
            <w:pPr>
              <w:pStyle w:val="null3"/>
              <w:jc w:val="left"/>
            </w:pPr>
            <w:r>
              <w:rPr/>
              <w:t>技术路线和工作思路 (5.0分)</w:t>
            </w:r>
          </w:p>
        </w:tc>
        <w:tc>
          <w:tcPr>
            <w:tcW w:type="dxa" w:w="5076"/>
          </w:tcPr>
          <w:p>
            <w:pPr>
              <w:pStyle w:val="null3"/>
              <w:jc w:val="left"/>
            </w:pPr>
            <w:r>
              <w:rPr/>
              <w:t>一、根据投标人针对本项目制定的项目技术路线、工作思路方案进行评审：内容包括但不限于项目技术路线、工作思路等2项内容。每含一项得0.5分，最高得1分。 二、对技术路线和工作思路深度进行评审： 1、技术路线、工作思路与方法详细、完整，重点突出，符合项目实施的需要，完全满足且优于采购需求，得4分； 2、技术路线、工作思路与方法基本完整，基本符合项目实施的需要，满足采购需求，得2分； 3、技术路线、工作思路与方法简单、无重点，部分符合项目实施的需要，部分满足采购需求，得1分。 4、无提供或其他不得分。</w:t>
            </w:r>
          </w:p>
        </w:tc>
      </w:tr>
      <w:tr>
        <w:tc>
          <w:tcPr>
            <w:tcW w:type="dxa" w:w="922"/>
            <w:gridSpan w:val="2"/>
            <w:vMerge/>
          </w:tcPr>
          <w:p/>
        </w:tc>
        <w:tc>
          <w:tcPr>
            <w:tcW w:type="dxa" w:w="2307"/>
          </w:tcPr>
          <w:p>
            <w:pPr>
              <w:pStyle w:val="null3"/>
              <w:jc w:val="left"/>
            </w:pPr>
            <w:r>
              <w:rPr/>
              <w:t>研究成果内容 (10.5分)</w:t>
            </w:r>
          </w:p>
        </w:tc>
        <w:tc>
          <w:tcPr>
            <w:tcW w:type="dxa" w:w="5076"/>
          </w:tcPr>
          <w:p>
            <w:pPr>
              <w:pStyle w:val="null3"/>
              <w:jc w:val="left"/>
            </w:pPr>
            <w:r>
              <w:rPr/>
              <w:t>一、根据投标人对本项目的研究成果内容设想方案进行评审：内容上需要明确“黄金内湾”格局下增城发展的定位及空间框架，谋划一批能够纳入省“黄金内湾”规划的重要战略地区、重大平台、重大基础设施和改革创新试验做法，更好服务增城加快融入国际一流湾区和世界级城市群建设，助力打造广州高质量发展动力源，包括但不限于成果内容的目标定位、空间格局、园区升级、枢纽强化、品质提升等5项内容。每含一项得0.5分，最高得2.5分。 二、对研究成果内容深度进行评审： 1、研究成果目标定位准确、空间格局合理，能提出科学、合理、可行的园区升级、枢纽强化、品质提升等优化建议，完全满足且优于采购需求，得8分； 2、研究成果目标定位基本准确、空间格局基本合理，提出基本科学、合理的园区升级、枢纽强化、品质提升等优化建议，满足采购需求，得6分； 3、研究成果目标定位部分准确、空间格局部分合理，提出部分合理的园区升级、枢纽强化、品质提升等优化建议，部分满足采购需求，得3分； 4、无提供或其他不得分。</w:t>
            </w:r>
          </w:p>
        </w:tc>
      </w:tr>
      <w:tr>
        <w:tc>
          <w:tcPr>
            <w:tcW w:type="dxa" w:w="922"/>
            <w:gridSpan w:val="2"/>
            <w:vMerge/>
          </w:tcPr>
          <w:p/>
        </w:tc>
        <w:tc>
          <w:tcPr>
            <w:tcW w:type="dxa" w:w="2307"/>
          </w:tcPr>
          <w:p>
            <w:pPr>
              <w:pStyle w:val="null3"/>
              <w:jc w:val="left"/>
            </w:pPr>
            <w:r>
              <w:rPr/>
              <w:t>工作计划安排和项目实施保障 (6.0分)</w:t>
            </w:r>
          </w:p>
        </w:tc>
        <w:tc>
          <w:tcPr>
            <w:tcW w:type="dxa" w:w="5076"/>
          </w:tcPr>
          <w:p>
            <w:pPr>
              <w:pStyle w:val="null3"/>
              <w:jc w:val="left"/>
            </w:pPr>
            <w:r>
              <w:rPr/>
              <w:t>一、根据投标人针对本项目制定的工作计划安排和项目实施保障措施方案进行评审：内容包括但不限于实施进度计划、实施保障措施、成果进度、质量控制措施4项内容。每含一项得0.5分，最高得2分。 二、工作计划安排和项目实施保障内容深度进行评审： 1、项目实施进度计划详细完整，合理可行，满足采购人进度需求，项目实施保障措施具体、合理、可行，内部管理制度完善，成果进度、质量控制措施完善，满足反复修改论证、及时汇报及提交成果的要求，完全满足且优于采购需求，得4分； 2、项目实施进度计划基本合理，项目实施保障措施基本可行，内部管理制度、成果进度、质量控制措施基本完善，满足采购需求，得2分； 3、项目实施进度计划部分合理，项目实施保障措施部分可行，成果进度、质量控制措施基本能够满足要求，部分满足采购需求，得1分； 4、无提供或其他不得分。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项目业绩 (8.0分)</w:t>
            </w:r>
          </w:p>
        </w:tc>
        <w:tc>
          <w:tcPr>
            <w:tcW w:type="dxa" w:w="5076"/>
          </w:tcPr>
          <w:p>
            <w:pPr>
              <w:pStyle w:val="null3"/>
              <w:jc w:val="left"/>
            </w:pPr>
            <w:r>
              <w:rPr/>
              <w:t>投标人承担过同类项目业绩的，每提供1项，得2分，最高得8分。 注：须提供合同复印件作为证明材料（加盖公章，同类项目业绩包括：国土空间总体规划、发展规划、专项规划等项目）。</w:t>
            </w:r>
          </w:p>
        </w:tc>
      </w:tr>
      <w:tr>
        <w:tc>
          <w:tcPr>
            <w:tcW w:type="dxa" w:w="922"/>
            <w:gridSpan w:val="2"/>
            <w:vMerge/>
          </w:tcPr>
          <w:p/>
        </w:tc>
        <w:tc>
          <w:tcPr>
            <w:tcW w:type="dxa" w:w="2307"/>
          </w:tcPr>
          <w:p>
            <w:pPr>
              <w:pStyle w:val="null3"/>
              <w:jc w:val="left"/>
            </w:pPr>
            <w:r>
              <w:rPr/>
              <w:t>项目负责人情况 (9.0分)</w:t>
            </w:r>
          </w:p>
        </w:tc>
        <w:tc>
          <w:tcPr>
            <w:tcW w:type="dxa" w:w="5076"/>
          </w:tcPr>
          <w:p>
            <w:pPr>
              <w:pStyle w:val="null3"/>
              <w:jc w:val="left"/>
            </w:pPr>
            <w:r>
              <w:rPr/>
              <w:t>1、项目负责人具有自然资源领域（含国土、城乡（市）规划）类的技术职称：正高级（或教授级）职称的，得5分；副高（高级）职称的，得2分；其他情况不得分。项目负责人拥有多项不同等级证书的，仅按符合要求的可得最高得分计算一次。本子项最高得5分。提供相应职称证书复印件。 2、工作年限8年及以上，得4分；工作年限6年及以上，得2分；其它情况得0分。（以获取自然资源领域（含国土、城乡（市）规划）类技术职称的日期起计算） 注：本项累计最高得9分。除提供评分子项相应证明材料外，还需提供投标文件递交截止日前6个月内（含投标文件递交截止时间当月）任意3个月投标人为上述人员缴纳社保证明文件复印件或劳动合同复印件。不提供证明材料不足，或提供的证明材料未能有效证明上述要求的，不予认可。</w:t>
            </w:r>
          </w:p>
        </w:tc>
      </w:tr>
      <w:tr>
        <w:tc>
          <w:tcPr>
            <w:tcW w:type="dxa" w:w="922"/>
            <w:gridSpan w:val="2"/>
            <w:vMerge/>
          </w:tcPr>
          <w:p/>
        </w:tc>
        <w:tc>
          <w:tcPr>
            <w:tcW w:type="dxa" w:w="2307"/>
          </w:tcPr>
          <w:p>
            <w:pPr>
              <w:pStyle w:val="null3"/>
              <w:jc w:val="left"/>
            </w:pPr>
            <w:r>
              <w:rPr/>
              <w:t>项目团队成员（项目负责人除外）情况 (18.0分)</w:t>
            </w:r>
          </w:p>
        </w:tc>
        <w:tc>
          <w:tcPr>
            <w:tcW w:type="dxa" w:w="5076"/>
          </w:tcPr>
          <w:p>
            <w:pPr>
              <w:pStyle w:val="null3"/>
              <w:jc w:val="left"/>
            </w:pPr>
            <w:r>
              <w:rPr/>
              <w:t>团队成员（项目负责人除外）具有城乡（市）规划、国土、经济、信息管理、道路与桥梁等专业相关类型的技术职称：高级或以上职称的，每人得2分；中级职称的，每人得1分。同一人拥有不同类别或不同等级证书的，仅按符合要求的可得最高得分计算一次。 注：本项累计最高得18分。提供相应职称证书复印件，并提供投标文件递交截止日前6个月内（含投标文件递交截止时间当月）任意3个月投标人为上述人员缴纳社保证明文件复印件或劳动合同复印件。不提供证明材料不足，或提供的证明材料未能有效证明上述要求的，不予认可。</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注：以下合同仅供参考，具体内容以双方按照招标文件、投标文件及相关法律政策规定所签订的合同为准。</w:t>
      </w:r>
    </w:p>
    <w:p>
      <w:pPr>
        <w:pStyle w:val="null3"/>
        <w:jc w:val="left"/>
      </w:pPr>
      <w:r>
        <w:rPr/>
        <w:t xml:space="preserve"> </w:t>
      </w:r>
    </w:p>
    <w:p>
      <w:pPr>
        <w:pStyle w:val="null3"/>
        <w:jc w:val="both"/>
      </w:pPr>
      <w:r>
        <w:rPr>
          <w:sz w:val="24"/>
        </w:rPr>
        <w:t>合同编号：</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72"/>
          <w:b/>
        </w:rPr>
        <w:t>技 术 服 务 合 同</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7"/>
        </w:rPr>
        <w:t>项目名称：</w:t>
      </w:r>
      <w:r>
        <w:rPr>
          <w:sz w:val="27"/>
          <w:u w:val="single"/>
        </w:rPr>
        <w:t>增城区融入“黄金内湾”高质量发展重大平台、重大基础设施项目前期策划</w:t>
      </w:r>
    </w:p>
    <w:p>
      <w:pPr>
        <w:pStyle w:val="null3"/>
        <w:jc w:val="both"/>
      </w:pPr>
      <w:r>
        <w:rPr/>
        <w:t xml:space="preserve"> </w:t>
      </w:r>
    </w:p>
    <w:p>
      <w:pPr>
        <w:pStyle w:val="null3"/>
        <w:jc w:val="both"/>
      </w:pPr>
      <w:r>
        <w:rPr>
          <w:sz w:val="27"/>
        </w:rPr>
        <w:t>委托方（甲方）：</w:t>
      </w:r>
      <w:r>
        <w:rPr>
          <w:sz w:val="27"/>
          <w:u w:val="single"/>
        </w:rPr>
        <w:t>广州市规划和自然资源局增城区分局</w:t>
      </w:r>
    </w:p>
    <w:p>
      <w:pPr>
        <w:pStyle w:val="null3"/>
        <w:jc w:val="both"/>
      </w:pPr>
      <w:r>
        <w:rPr/>
        <w:t xml:space="preserve"> </w:t>
      </w:r>
    </w:p>
    <w:p>
      <w:pPr>
        <w:pStyle w:val="null3"/>
        <w:jc w:val="both"/>
      </w:pPr>
      <w:r>
        <w:rPr>
          <w:sz w:val="27"/>
        </w:rPr>
        <w:t>受托方（乙方）：___________________________________</w:t>
      </w:r>
    </w:p>
    <w:p>
      <w:pPr>
        <w:pStyle w:val="null3"/>
        <w:jc w:val="both"/>
      </w:pPr>
      <w:r>
        <w:rPr/>
        <w:t xml:space="preserve"> </w:t>
      </w:r>
    </w:p>
    <w:p>
      <w:pPr>
        <w:pStyle w:val="null3"/>
        <w:jc w:val="both"/>
      </w:pPr>
      <w:r>
        <w:rPr>
          <w:sz w:val="27"/>
        </w:rPr>
        <w:t>签订日期：</w:t>
      </w:r>
      <w:r>
        <w:rPr>
          <w:sz w:val="27"/>
          <w:u w:val="single"/>
        </w:rPr>
        <w:t xml:space="preserve">                   </w:t>
      </w:r>
      <w:r>
        <w:rPr>
          <w:sz w:val="27"/>
          <w:u w:val="single"/>
        </w:rPr>
        <w:t xml:space="preserve">2025年                    </w:t>
      </w:r>
    </w:p>
    <w:p>
      <w:pPr>
        <w:pStyle w:val="null3"/>
        <w:jc w:val="both"/>
      </w:pPr>
      <w:r>
        <w:rPr/>
        <w:t xml:space="preserve"> </w:t>
      </w:r>
    </w:p>
    <w:p>
      <w:pPr>
        <w:pStyle w:val="null3"/>
        <w:jc w:val="both"/>
      </w:pPr>
      <w:r>
        <w:rPr>
          <w:sz w:val="27"/>
        </w:rPr>
        <w:t>签订地点：</w:t>
      </w:r>
      <w:r>
        <w:rPr>
          <w:sz w:val="27"/>
          <w:u w:val="single"/>
        </w:rPr>
        <w:t xml:space="preserve">             </w:t>
      </w:r>
      <w:r>
        <w:rPr>
          <w:sz w:val="27"/>
          <w:u w:val="single"/>
        </w:rPr>
        <w:t>中国 广州市</w:t>
      </w:r>
      <w:r>
        <w:rPr>
          <w:sz w:val="27"/>
          <w:u w:val="single"/>
        </w:rPr>
        <w:t xml:space="preserve">                    </w:t>
      </w:r>
    </w:p>
    <w:p>
      <w:pPr>
        <w:pStyle w:val="null3"/>
        <w:jc w:val="both"/>
      </w:pPr>
      <w:r>
        <w:rPr/>
        <w:t xml:space="preserve"> </w:t>
      </w:r>
    </w:p>
    <w:p>
      <w:pPr>
        <w:pStyle w:val="null3"/>
        <w:jc w:val="both"/>
      </w:pPr>
      <w:r>
        <w:rPr>
          <w:sz w:val="27"/>
        </w:rPr>
        <w:t>有效期限：</w:t>
      </w:r>
      <w:r>
        <w:rPr>
          <w:sz w:val="27"/>
          <w:u w:val="single"/>
        </w:rPr>
        <w:t>自合同签订之日起至合同所约定的全部义务履行完毕之日止</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center"/>
      </w:pPr>
      <w:r>
        <w:rPr>
          <w:sz w:val="24"/>
          <w:b/>
        </w:rPr>
        <w:t>中华人民共和国科学技术部印制</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30"/>
          <w:b/>
        </w:rPr>
        <w:t>填写说明</w:t>
      </w:r>
    </w:p>
    <w:p>
      <w:pPr>
        <w:pStyle w:val="null3"/>
        <w:jc w:val="center"/>
      </w:pPr>
      <w:r>
        <w:rPr>
          <w:sz w:val="24"/>
        </w:rPr>
        <w:t>一、本合同为中华人民共和国科学技术部印制的技术服务合同示范文本，各技术合同认定登记机构可推介技术合同当事人参照使用。</w:t>
      </w:r>
    </w:p>
    <w:p>
      <w:pPr>
        <w:pStyle w:val="null3"/>
        <w:ind w:firstLine="480"/>
        <w:jc w:val="both"/>
      </w:pPr>
      <w:r>
        <w:rPr>
          <w:sz w:val="24"/>
        </w:rPr>
        <w:t>二、本合同书适用于一方当事人（受托方）以技术知识为另一方（委托方）解决特定技术问题所订立的合同。</w:t>
      </w:r>
    </w:p>
    <w:p>
      <w:pPr>
        <w:pStyle w:val="null3"/>
        <w:ind w:firstLine="480"/>
        <w:jc w:val="both"/>
      </w:pPr>
      <w:r>
        <w:rPr>
          <w:sz w:val="24"/>
        </w:rPr>
        <w:t>三、签约一方为多个当事人的，可按各自在合同关系中的作用等，在“委托方”、“受托方”项下（增页）分别排列为共同委托人或共同受托人。</w:t>
      </w:r>
    </w:p>
    <w:p>
      <w:pPr>
        <w:pStyle w:val="null3"/>
        <w:ind w:firstLine="480"/>
        <w:jc w:val="both"/>
      </w:pPr>
      <w:r>
        <w:rPr>
          <w:sz w:val="24"/>
        </w:rPr>
        <w:t>四、本合同书未尽事项，可由当事人附页另行约定，并作为本合同的组成部分。</w:t>
      </w:r>
    </w:p>
    <w:p>
      <w:pPr>
        <w:pStyle w:val="null3"/>
        <w:ind w:firstLine="480"/>
        <w:jc w:val="both"/>
      </w:pPr>
      <w:r>
        <w:rPr>
          <w:sz w:val="24"/>
        </w:rPr>
        <w:t>五、当事人使用本合同书时约定无需填写的条款，应在该条款处注明“无”等字样。</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709"/>
        <w:jc w:val="center"/>
      </w:pPr>
      <w:r>
        <w:rPr>
          <w:sz w:val="24"/>
          <w:b/>
        </w:rPr>
        <w:t>增城区融入“黄金内湾”高质量发展重大平台、重大基础设施项目前期策划技术服务合同</w:t>
      </w:r>
    </w:p>
    <w:p>
      <w:pPr>
        <w:pStyle w:val="null3"/>
        <w:ind w:firstLine="709"/>
        <w:jc w:val="center"/>
      </w:pPr>
      <w:r>
        <w:rPr/>
        <w:t xml:space="preserve"> </w:t>
      </w:r>
    </w:p>
    <w:p>
      <w:pPr>
        <w:pStyle w:val="null3"/>
        <w:spacing w:after="120"/>
        <w:ind w:left="420" w:firstLine="420"/>
        <w:jc w:val="both"/>
      </w:pPr>
      <w:r>
        <w:rPr>
          <w:sz w:val="24"/>
        </w:rPr>
        <w:t>委托方（甲方）：</w:t>
      </w:r>
      <w:r>
        <w:rPr>
          <w:sz w:val="24"/>
          <w:u w:val="single"/>
        </w:rPr>
        <w:t>广州市规划和自然资源局增城区分局</w:t>
      </w:r>
    </w:p>
    <w:p>
      <w:pPr>
        <w:pStyle w:val="null3"/>
        <w:ind w:firstLine="480"/>
      </w:pPr>
      <w:r>
        <w:rPr>
          <w:sz w:val="24"/>
        </w:rPr>
        <w:t>住 所 地：</w:t>
      </w:r>
    </w:p>
    <w:p>
      <w:pPr>
        <w:pStyle w:val="null3"/>
        <w:ind w:firstLine="480"/>
      </w:pPr>
      <w:r>
        <w:rPr>
          <w:sz w:val="24"/>
        </w:rPr>
        <w:t>法定代表人：</w:t>
      </w:r>
    </w:p>
    <w:p>
      <w:pPr>
        <w:pStyle w:val="null3"/>
        <w:ind w:firstLine="480"/>
      </w:pPr>
      <w:r>
        <w:rPr>
          <w:sz w:val="24"/>
        </w:rPr>
        <w:t>项目联系人：</w:t>
      </w:r>
    </w:p>
    <w:p>
      <w:pPr>
        <w:pStyle w:val="null3"/>
        <w:ind w:firstLine="480"/>
      </w:pPr>
      <w:r>
        <w:rPr>
          <w:sz w:val="24"/>
        </w:rPr>
        <w:t>通讯地址：</w:t>
      </w:r>
    </w:p>
    <w:p>
      <w:pPr>
        <w:pStyle w:val="null3"/>
        <w:ind w:firstLine="480"/>
      </w:pPr>
      <w:r>
        <w:rPr>
          <w:sz w:val="24"/>
        </w:rPr>
        <w:t>电   话：                        传   真：</w:t>
      </w:r>
    </w:p>
    <w:p>
      <w:pPr>
        <w:pStyle w:val="null3"/>
        <w:ind w:firstLine="480"/>
      </w:pPr>
      <w:r>
        <w:rPr>
          <w:sz w:val="24"/>
        </w:rPr>
        <w:t>电子信箱：</w:t>
      </w:r>
    </w:p>
    <w:p>
      <w:pPr>
        <w:pStyle w:val="null3"/>
        <w:ind w:firstLine="480"/>
        <w:jc w:val="both"/>
      </w:pPr>
      <w:r>
        <w:rPr>
          <w:sz w:val="24"/>
        </w:rPr>
        <w:t>受托方（乙方）：</w:t>
      </w:r>
    </w:p>
    <w:p>
      <w:pPr>
        <w:pStyle w:val="null3"/>
        <w:ind w:firstLine="480"/>
        <w:jc w:val="both"/>
      </w:pPr>
      <w:r>
        <w:rPr>
          <w:sz w:val="24"/>
        </w:rPr>
        <w:t>住所地：</w:t>
      </w:r>
    </w:p>
    <w:p>
      <w:pPr>
        <w:pStyle w:val="null3"/>
        <w:ind w:firstLine="480"/>
        <w:jc w:val="both"/>
      </w:pPr>
      <w:r>
        <w:rPr>
          <w:sz w:val="24"/>
        </w:rPr>
        <w:t>法定代表人：</w:t>
      </w:r>
    </w:p>
    <w:p>
      <w:pPr>
        <w:pStyle w:val="null3"/>
        <w:ind w:firstLine="480"/>
        <w:jc w:val="both"/>
      </w:pPr>
      <w:r>
        <w:rPr>
          <w:sz w:val="24"/>
        </w:rPr>
        <w:t>项目联系人：</w:t>
      </w:r>
    </w:p>
    <w:p>
      <w:pPr>
        <w:pStyle w:val="null3"/>
        <w:ind w:firstLine="480"/>
        <w:jc w:val="both"/>
      </w:pPr>
      <w:r>
        <w:rPr>
          <w:sz w:val="24"/>
        </w:rPr>
        <w:t>联系方式：</w:t>
      </w:r>
    </w:p>
    <w:p>
      <w:pPr>
        <w:pStyle w:val="null3"/>
        <w:ind w:firstLine="480"/>
        <w:jc w:val="both"/>
      </w:pPr>
      <w:r>
        <w:rPr>
          <w:sz w:val="24"/>
        </w:rPr>
        <w:t>通讯地址：</w:t>
      </w:r>
    </w:p>
    <w:p>
      <w:pPr>
        <w:pStyle w:val="null3"/>
        <w:ind w:firstLine="480"/>
        <w:jc w:val="both"/>
      </w:pPr>
      <w:r>
        <w:rPr>
          <w:sz w:val="24"/>
        </w:rPr>
        <w:t>电   话：                        传   真：</w:t>
      </w:r>
    </w:p>
    <w:p>
      <w:pPr>
        <w:pStyle w:val="null3"/>
        <w:ind w:firstLine="480"/>
        <w:jc w:val="both"/>
      </w:pPr>
      <w:r>
        <w:rPr>
          <w:sz w:val="24"/>
        </w:rPr>
        <w:t>电子信箱：</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20"/>
        <w:jc w:val="both"/>
      </w:pPr>
      <w:r>
        <w:rPr/>
        <w:t xml:space="preserve"> </w:t>
      </w:r>
    </w:p>
    <w:p>
      <w:pPr>
        <w:pStyle w:val="null3"/>
        <w:ind w:firstLine="420"/>
        <w:jc w:val="both"/>
      </w:pPr>
      <w:r>
        <w:rPr>
          <w:sz w:val="24"/>
        </w:rPr>
        <w:t>本合同甲方委托乙方就</w:t>
      </w:r>
      <w:r>
        <w:rPr>
          <w:sz w:val="24"/>
          <w:u w:val="single"/>
        </w:rPr>
        <w:t>增城区融入“黄金内湾”高质量发展重大平台、重大基础设施项目前期策划</w:t>
      </w:r>
      <w:r>
        <w:rPr>
          <w:sz w:val="24"/>
        </w:rPr>
        <w:t>项目进行的专项技术服务，并支付相应的技术服务报酬。双方经过平等协商，在真实、充分地表达各自意愿的基础上，根据《中华人民共和国民法典》的规定，达成如下协议，并由双方共同恪守。</w:t>
      </w:r>
    </w:p>
    <w:p>
      <w:pPr>
        <w:pStyle w:val="null3"/>
        <w:ind w:firstLine="482"/>
      </w:pPr>
      <w:r>
        <w:rPr>
          <w:sz w:val="24"/>
          <w:b/>
        </w:rPr>
        <w:t>第一条：甲方委托乙方进行技术服务的内容如下：</w:t>
      </w:r>
    </w:p>
    <w:p>
      <w:pPr>
        <w:pStyle w:val="null3"/>
        <w:ind w:firstLine="482"/>
        <w:jc w:val="both"/>
      </w:pPr>
      <w:r>
        <w:rPr>
          <w:sz w:val="24"/>
          <w:b/>
        </w:rPr>
        <w:t>1.技术服务的目标</w:t>
      </w:r>
    </w:p>
    <w:p>
      <w:pPr>
        <w:pStyle w:val="null3"/>
        <w:ind w:firstLine="480"/>
        <w:jc w:val="both"/>
      </w:pPr>
      <w:r>
        <w:rPr>
          <w:sz w:val="24"/>
        </w:rPr>
        <w:t>协同广东省、广州市及周边区域关于“黄金内湾”规划建设的谋划部署，研判增城优势与挑战，充分挖掘增城区域发展价值与定位，谋划一批能够纳入黄金内湾规划整合成果的重要战略地区、重大设施和改革创新试验做法，提高在黄金内湾战略中的“能见度”，更好服务增城加快融入国际一流湾区和世界级城市群建设，助力打造广州高质量发展动力源，开展《增城区融入“黄金内湾”高质量发展重大平台、重大基础设施项目前期策划》编制工作。</w:t>
      </w:r>
    </w:p>
    <w:p>
      <w:pPr>
        <w:pStyle w:val="null3"/>
        <w:ind w:firstLine="482"/>
        <w:jc w:val="both"/>
      </w:pPr>
      <w:r>
        <w:rPr>
          <w:sz w:val="24"/>
          <w:b/>
        </w:rPr>
        <w:t>2.工作范围</w:t>
      </w:r>
    </w:p>
    <w:p>
      <w:pPr>
        <w:pStyle w:val="null3"/>
        <w:ind w:firstLine="480"/>
        <w:jc w:val="both"/>
      </w:pPr>
      <w:r>
        <w:rPr>
          <w:sz w:val="24"/>
        </w:rPr>
        <w:t>（1）规划范围：增城区行政辖区范围，面积为1616.47平方公里。</w:t>
      </w:r>
    </w:p>
    <w:p>
      <w:pPr>
        <w:pStyle w:val="null3"/>
        <w:ind w:firstLine="480"/>
        <w:jc w:val="both"/>
      </w:pPr>
      <w:r>
        <w:rPr>
          <w:sz w:val="24"/>
        </w:rPr>
        <w:t>（2）规划年限：规划研究年限至2035年，展望至2050年。</w:t>
      </w:r>
    </w:p>
    <w:p>
      <w:pPr>
        <w:pStyle w:val="null3"/>
        <w:ind w:firstLine="482"/>
        <w:jc w:val="both"/>
      </w:pPr>
      <w:r>
        <w:rPr>
          <w:sz w:val="24"/>
          <w:b/>
        </w:rPr>
        <w:t>3.工作内容</w:t>
      </w:r>
    </w:p>
    <w:p>
      <w:pPr>
        <w:pStyle w:val="null3"/>
        <w:ind w:firstLine="480"/>
      </w:pPr>
      <w:r>
        <w:rPr>
          <w:sz w:val="24"/>
        </w:rPr>
        <w:t>包括但不限于以下工作内容：</w:t>
      </w:r>
    </w:p>
    <w:p>
      <w:pPr>
        <w:pStyle w:val="null3"/>
        <w:ind w:firstLine="480"/>
      </w:pPr>
      <w:r>
        <w:rPr>
          <w:sz w:val="24"/>
        </w:rPr>
        <w:t>（一）片区高质量发展研究</w:t>
      </w:r>
    </w:p>
    <w:p>
      <w:pPr>
        <w:pStyle w:val="null3"/>
        <w:ind w:firstLine="480"/>
      </w:pPr>
      <w:r>
        <w:rPr>
          <w:sz w:val="24"/>
        </w:rPr>
        <w:t>1.研判现状发展特质</w:t>
      </w:r>
    </w:p>
    <w:p>
      <w:pPr>
        <w:pStyle w:val="null3"/>
        <w:ind w:firstLine="480"/>
      </w:pPr>
      <w:r>
        <w:rPr>
          <w:sz w:val="24"/>
        </w:rPr>
        <w:t>从对外交往转向、科技创新转向、发展方式转向、空间组织转向方面全面解析“黄金内湾”一体化、融合发展新趋势；在此基础上对从区域协同、产业创新、环境提质、生态韧性等角度全面分析增城现状特征以及在“黄金内湾”一体化融合发展过程中面临的机遇和挑战。</w:t>
      </w:r>
    </w:p>
    <w:p>
      <w:pPr>
        <w:pStyle w:val="null3"/>
        <w:ind w:firstLine="480"/>
      </w:pPr>
      <w:r>
        <w:rPr>
          <w:sz w:val="24"/>
        </w:rPr>
        <w:t>2.明确目标、策略与空间布局</w:t>
      </w:r>
    </w:p>
    <w:p>
      <w:pPr>
        <w:pStyle w:val="null3"/>
        <w:ind w:firstLine="480"/>
      </w:pPr>
      <w:r>
        <w:rPr>
          <w:sz w:val="24"/>
        </w:rPr>
        <w:t>分析增城空间发展历程，研判粤港澳大湾区发展规划纲要、广州市战略规划2049、广州市和增城区国土空间总体规划对新阶段空间发展谋划。在此基础上审视增城在“黄金内湾”中区域角色，提出“黄金内湾”格局下的区域发展新定位。围绕东部中心、环两山示范区等区域重大平台统筹谋划、区域协调发展等方面提出城市的主要拓展方向、战略发展空间、重大发展平台等规划建设策略，科学谋划增城城市发展空间结构、功能分区，提出与广州中心城、东莞中心城等“黄金内湾”其他功能区的协调发展策略。</w:t>
      </w:r>
    </w:p>
    <w:p>
      <w:pPr>
        <w:pStyle w:val="null3"/>
        <w:ind w:firstLine="480"/>
      </w:pPr>
      <w:r>
        <w:rPr>
          <w:sz w:val="24"/>
        </w:rPr>
        <w:t>3.制定重点区域发展策略</w:t>
      </w:r>
    </w:p>
    <w:p>
      <w:pPr>
        <w:pStyle w:val="null3"/>
        <w:ind w:firstLine="480"/>
      </w:pPr>
      <w:r>
        <w:rPr>
          <w:sz w:val="24"/>
        </w:rPr>
        <w:t>聚焦未来五到十年的战略任务和重大举措，充分挖掘经济、文化、交通等资源优势，识别重点区域。明确重点区域范围、规模、发展远景、目标定位、发展策略、空间结构、分区主导功能等内容对重点价值地区提出精准的战略发展定位和发展思路，为推进实施识别空间载体，分阶段制定实施行动方案。</w:t>
      </w:r>
    </w:p>
    <w:p>
      <w:pPr>
        <w:pStyle w:val="null3"/>
        <w:ind w:firstLine="480"/>
      </w:pPr>
      <w:r>
        <w:rPr>
          <w:sz w:val="24"/>
        </w:rPr>
        <w:t>4.强化支撑系统规划研究</w:t>
      </w:r>
    </w:p>
    <w:p>
      <w:pPr>
        <w:pStyle w:val="null3"/>
        <w:ind w:firstLine="480"/>
      </w:pPr>
      <w:r>
        <w:rPr>
          <w:sz w:val="24"/>
        </w:rPr>
        <w:t>（1）产业空间布局规划。分析黄金内湾产业转型发展趋势，面向建设现代化产业体系新要求，发挥增城“慢环境”“低成本”等禀赋优势，从区域协调和城市发展角度，明确产业发展定位、略和空间格局，分析产业科技互促条件，围绕创新链、产业链、供应链三链整合以及“低空经济”“水经济”等新产业布局，提出完善重大产业平台、项目（如低空公园）总体格局和保障措施。</w:t>
      </w:r>
    </w:p>
    <w:p>
      <w:pPr>
        <w:pStyle w:val="null3"/>
        <w:ind w:firstLine="480"/>
      </w:pPr>
      <w:r>
        <w:rPr>
          <w:sz w:val="24"/>
        </w:rPr>
        <w:t>（2）综合交通规划。提出城市交通发展体系，落实轨道交通、高快速交通系统空间布局，重点提升城市与粤港澳大湾区核心城市、周边重点发展平台的交通联系。</w:t>
      </w:r>
    </w:p>
    <w:p>
      <w:pPr>
        <w:pStyle w:val="null3"/>
        <w:ind w:firstLine="480"/>
      </w:pPr>
      <w:r>
        <w:rPr>
          <w:sz w:val="24"/>
        </w:rPr>
        <w:t>（3）公共服务设施规划。面向新阶段不同人群使用需求，构建公共服务中心体系，补充完善生活性、生产性公共服务设施，规划具有区域影响力的高等级公共服务设施，提升城市服务能级和城市品质。</w:t>
      </w:r>
    </w:p>
    <w:p>
      <w:pPr>
        <w:pStyle w:val="null3"/>
        <w:ind w:firstLine="480"/>
      </w:pPr>
      <w:r>
        <w:rPr>
          <w:sz w:val="24"/>
        </w:rPr>
        <w:t>（4）生态与韧性城市规划。构建生态安全格局，加强生态空间管控修复，落实广东省绿美建设工作要求，深化区域生态环境保护，提出共保共治协同治理措施。研判主要风险识别确定市域和中心城区的主要灾害类型和分布特征，明确韧性城市空间格局，提出生命线系统规划布局。</w:t>
      </w:r>
    </w:p>
    <w:p>
      <w:pPr>
        <w:pStyle w:val="null3"/>
        <w:ind w:firstLine="480"/>
      </w:pPr>
      <w:r>
        <w:rPr>
          <w:sz w:val="24"/>
        </w:rPr>
        <w:t>5.提出重点行动计划</w:t>
      </w:r>
    </w:p>
    <w:p>
      <w:pPr>
        <w:pStyle w:val="null3"/>
        <w:ind w:firstLine="480"/>
      </w:pPr>
      <w:r>
        <w:rPr>
          <w:sz w:val="24"/>
        </w:rPr>
        <w:t>围绕核心战略功能、产业发展、综合交通体系、公共服务设施体系、生态与韧性城市构建等不同发展领域，分类提出重点工程清单，并提出概念性示范设计方案和实施路径。</w:t>
      </w:r>
    </w:p>
    <w:p>
      <w:pPr>
        <w:pStyle w:val="null3"/>
        <w:ind w:firstLine="480"/>
      </w:pPr>
      <w:r>
        <w:rPr>
          <w:sz w:val="24"/>
        </w:rPr>
        <w:t>6.宣传材料</w:t>
      </w:r>
    </w:p>
    <w:p>
      <w:pPr>
        <w:pStyle w:val="null3"/>
        <w:ind w:firstLine="480"/>
        <w:jc w:val="both"/>
      </w:pPr>
      <w:r>
        <w:rPr>
          <w:sz w:val="24"/>
        </w:rPr>
        <w:t>按照甲方宣传工作要求，根据项目实际推进情况，配合完成所需的图文宣传材料制作等。</w:t>
      </w:r>
    </w:p>
    <w:p>
      <w:pPr>
        <w:pStyle w:val="null3"/>
        <w:ind w:firstLine="482"/>
        <w:jc w:val="both"/>
      </w:pPr>
      <w:r>
        <w:rPr>
          <w:sz w:val="24"/>
          <w:b/>
        </w:rPr>
        <w:t>4.规划依据</w:t>
      </w:r>
    </w:p>
    <w:p>
      <w:pPr>
        <w:pStyle w:val="null3"/>
        <w:ind w:firstLine="480"/>
        <w:jc w:val="both"/>
      </w:pPr>
      <w:r>
        <w:rPr>
          <w:sz w:val="24"/>
        </w:rPr>
        <w:t>（一）相关法律法规及规范标准</w:t>
      </w:r>
    </w:p>
    <w:p>
      <w:pPr>
        <w:pStyle w:val="null3"/>
        <w:ind w:firstLine="480"/>
        <w:jc w:val="both"/>
      </w:pPr>
      <w:r>
        <w:rPr>
          <w:sz w:val="24"/>
        </w:rPr>
        <w:t>1、《中华人民共和国城乡规划法》(2019年修正)；</w:t>
      </w:r>
    </w:p>
    <w:p>
      <w:pPr>
        <w:pStyle w:val="null3"/>
        <w:ind w:firstLine="480"/>
        <w:jc w:val="both"/>
      </w:pPr>
      <w:r>
        <w:rPr>
          <w:sz w:val="24"/>
        </w:rPr>
        <w:t>2、《城市规划编制办法》（2006）；</w:t>
      </w:r>
    </w:p>
    <w:p>
      <w:pPr>
        <w:pStyle w:val="null3"/>
        <w:ind w:firstLine="480"/>
        <w:jc w:val="both"/>
      </w:pPr>
      <w:r>
        <w:rPr>
          <w:sz w:val="24"/>
        </w:rPr>
        <w:t>3、《城市设计管理办法》（2017）；</w:t>
      </w:r>
    </w:p>
    <w:p>
      <w:pPr>
        <w:pStyle w:val="null3"/>
        <w:ind w:firstLine="480"/>
        <w:jc w:val="both"/>
      </w:pPr>
      <w:r>
        <w:rPr>
          <w:sz w:val="24"/>
        </w:rPr>
        <w:t>4、《广东省城乡规划条例》（2013）；</w:t>
      </w:r>
    </w:p>
    <w:p>
      <w:pPr>
        <w:pStyle w:val="null3"/>
        <w:ind w:firstLine="480"/>
        <w:jc w:val="both"/>
      </w:pPr>
      <w:r>
        <w:rPr>
          <w:sz w:val="24"/>
        </w:rPr>
        <w:t>5、《广东省城市控制性详细规划管理条例》；</w:t>
      </w:r>
    </w:p>
    <w:p>
      <w:pPr>
        <w:pStyle w:val="null3"/>
        <w:ind w:firstLine="480"/>
        <w:jc w:val="both"/>
      </w:pPr>
      <w:r>
        <w:rPr>
          <w:sz w:val="24"/>
        </w:rPr>
        <w:t>6、《广东省城市控制性详细规划编制指引》（2014年）；</w:t>
      </w:r>
    </w:p>
    <w:p>
      <w:pPr>
        <w:pStyle w:val="null3"/>
        <w:ind w:firstLine="480"/>
        <w:jc w:val="both"/>
      </w:pPr>
      <w:r>
        <w:rPr>
          <w:sz w:val="24"/>
        </w:rPr>
        <w:t>7、《广州市城乡规划条例》（2015）；</w:t>
      </w:r>
    </w:p>
    <w:p>
      <w:pPr>
        <w:pStyle w:val="null3"/>
        <w:ind w:firstLine="480"/>
        <w:jc w:val="both"/>
      </w:pPr>
      <w:r>
        <w:rPr>
          <w:sz w:val="24"/>
        </w:rPr>
        <w:t>8、《广州市城乡规划技术规定》（2019年）；</w:t>
      </w:r>
    </w:p>
    <w:p>
      <w:pPr>
        <w:pStyle w:val="null3"/>
        <w:ind w:firstLine="480"/>
        <w:jc w:val="both"/>
      </w:pPr>
      <w:r>
        <w:rPr>
          <w:sz w:val="24"/>
        </w:rPr>
        <w:t>（二）上位及相关规划</w:t>
      </w:r>
    </w:p>
    <w:p>
      <w:pPr>
        <w:pStyle w:val="null3"/>
        <w:ind w:firstLine="480"/>
        <w:jc w:val="both"/>
      </w:pPr>
      <w:r>
        <w:rPr>
          <w:sz w:val="24"/>
        </w:rPr>
        <w:t>1、《广州市国土空间总体规划（2021-2035年）》；</w:t>
      </w:r>
    </w:p>
    <w:p>
      <w:pPr>
        <w:pStyle w:val="null3"/>
        <w:ind w:firstLine="480"/>
        <w:jc w:val="both"/>
      </w:pPr>
      <w:r>
        <w:rPr>
          <w:sz w:val="24"/>
        </w:rPr>
        <w:t>2、《广州市增城区国民经济和社会发展第十四个五年规划和2035年远景目标纲要》；</w:t>
      </w:r>
    </w:p>
    <w:p>
      <w:pPr>
        <w:pStyle w:val="null3"/>
        <w:ind w:firstLine="480"/>
        <w:jc w:val="both"/>
      </w:pPr>
      <w:r>
        <w:rPr>
          <w:sz w:val="24"/>
        </w:rPr>
        <w:t>3、《广州市增城区国土空间总体规划（2021-2035年）》；</w:t>
      </w:r>
    </w:p>
    <w:p>
      <w:pPr>
        <w:pStyle w:val="null3"/>
        <w:ind w:firstLine="480"/>
        <w:jc w:val="both"/>
      </w:pPr>
      <w:r>
        <w:rPr>
          <w:sz w:val="24"/>
        </w:rPr>
        <w:t>4、《广州东部中心总体规划》；</w:t>
      </w:r>
    </w:p>
    <w:p>
      <w:pPr>
        <w:pStyle w:val="null3"/>
        <w:ind w:firstLine="480"/>
        <w:jc w:val="both"/>
      </w:pPr>
      <w:r>
        <w:rPr>
          <w:sz w:val="24"/>
        </w:rPr>
        <w:t>5、涉及项目范围相关的总体规划、详细规划、专项规划及其他相关法律、法规、规范性文件等。</w:t>
      </w:r>
    </w:p>
    <w:p>
      <w:pPr>
        <w:pStyle w:val="null3"/>
        <w:ind w:firstLine="482"/>
        <w:jc w:val="both"/>
      </w:pPr>
      <w:r>
        <w:rPr>
          <w:sz w:val="24"/>
          <w:b/>
        </w:rPr>
        <w:t>第二条：乙方应按下列要求完成技术服务工作：</w:t>
      </w:r>
    </w:p>
    <w:p>
      <w:pPr>
        <w:pStyle w:val="null3"/>
        <w:ind w:firstLine="480"/>
        <w:jc w:val="both"/>
      </w:pPr>
      <w:r>
        <w:rPr>
          <w:sz w:val="24"/>
        </w:rPr>
        <w:t>1</w:t>
      </w:r>
      <w:r>
        <w:rPr>
          <w:sz w:val="24"/>
        </w:rPr>
        <w:t>.</w:t>
      </w:r>
      <w:r>
        <w:rPr>
          <w:sz w:val="24"/>
        </w:rPr>
        <w:t>技术服务地点：广州市</w:t>
      </w:r>
    </w:p>
    <w:p>
      <w:pPr>
        <w:pStyle w:val="null3"/>
        <w:ind w:firstLine="480"/>
        <w:jc w:val="both"/>
      </w:pPr>
      <w:r>
        <w:rPr>
          <w:sz w:val="24"/>
        </w:rPr>
        <w:t>2</w:t>
      </w:r>
      <w:r>
        <w:rPr>
          <w:sz w:val="24"/>
        </w:rPr>
        <w:t>.</w:t>
      </w:r>
      <w:r>
        <w:rPr>
          <w:sz w:val="24"/>
        </w:rPr>
        <w:t>技术服务期限：</w:t>
      </w:r>
      <w:r>
        <w:rPr>
          <w:sz w:val="24"/>
          <w:u w:val="single"/>
        </w:rPr>
        <w:t xml:space="preserve">自合同签订起12个月  </w:t>
      </w:r>
    </w:p>
    <w:p>
      <w:pPr>
        <w:pStyle w:val="null3"/>
        <w:ind w:firstLine="480"/>
      </w:pPr>
      <w:r>
        <w:rPr>
          <w:sz w:val="24"/>
        </w:rPr>
        <w:t>3</w:t>
      </w:r>
      <w:r>
        <w:rPr>
          <w:sz w:val="24"/>
        </w:rPr>
        <w:t>.</w:t>
      </w:r>
      <w:r>
        <w:rPr>
          <w:sz w:val="24"/>
        </w:rPr>
        <w:t>技术服务进度：本次工作分四个阶段，自合同签订日起12个月内完成，具体安排如下：</w:t>
      </w:r>
    </w:p>
    <w:p>
      <w:pPr>
        <w:pStyle w:val="null3"/>
        <w:ind w:firstLine="480"/>
      </w:pPr>
      <w:r>
        <w:rPr>
          <w:sz w:val="24"/>
        </w:rPr>
        <w:t>（一）完成准备工作及现状调研（1个月）。通过资料收集、现场调研、座谈走访、网络查询等多种形式，对增城区现状基础条件、发展要素、现有规划进行深入了解，明确本次战略规划技术路线与重点方向。</w:t>
      </w:r>
    </w:p>
    <w:p>
      <w:pPr>
        <w:pStyle w:val="null3"/>
        <w:ind w:firstLine="480"/>
      </w:pPr>
      <w:r>
        <w:rPr>
          <w:sz w:val="24"/>
        </w:rPr>
        <w:t>（二）完成规划初步成果（1个月）。编制并提交规划初步成果，形成向上级相关部门沟通汇报的材料，推动将增城区融湾发展诉求纳入省黄金内湾规划。</w:t>
      </w:r>
    </w:p>
    <w:p>
      <w:pPr>
        <w:pStyle w:val="null3"/>
        <w:ind w:firstLine="480"/>
      </w:pPr>
      <w:r>
        <w:rPr>
          <w:sz w:val="24"/>
        </w:rPr>
        <w:t>（三）完成规划中期成果（3个月）。修改完善初步方案形成中期成果，开展专家咨询、相关部门意见征询等。</w:t>
      </w:r>
    </w:p>
    <w:p>
      <w:pPr>
        <w:pStyle w:val="null3"/>
        <w:ind w:firstLine="480"/>
      </w:pPr>
      <w:r>
        <w:rPr>
          <w:sz w:val="24"/>
        </w:rPr>
        <w:t>（四）完成最终成果编制及审查验收（7个月）。编制最终成果，由甲方组织审查，按照有关意见修改完善后，提交正式的终审成果至甲方确认验收。</w:t>
      </w:r>
    </w:p>
    <w:p>
      <w:pPr>
        <w:pStyle w:val="null3"/>
        <w:ind w:firstLine="480"/>
        <w:jc w:val="both"/>
      </w:pPr>
      <w:r>
        <w:rPr>
          <w:sz w:val="24"/>
        </w:rPr>
        <w:t>甲方与乙方经双方协商同意后可对时间节点进行适当调整。</w:t>
      </w:r>
    </w:p>
    <w:p>
      <w:pPr>
        <w:pStyle w:val="null3"/>
        <w:ind w:firstLine="480"/>
        <w:jc w:val="both"/>
      </w:pPr>
      <w:r>
        <w:rPr>
          <w:sz w:val="24"/>
        </w:rPr>
        <w:t>4</w:t>
      </w:r>
      <w:r>
        <w:rPr>
          <w:sz w:val="24"/>
        </w:rPr>
        <w:t>.</w:t>
      </w:r>
      <w:r>
        <w:rPr>
          <w:sz w:val="24"/>
        </w:rPr>
        <w:t>技术服务质量要求：</w:t>
      </w:r>
      <w:r>
        <w:rPr>
          <w:sz w:val="24"/>
          <w:u w:val="single"/>
        </w:rPr>
        <w:t>成果内容须符合国家相关规划标准和规范要求。成果主要包括两个方面内容，一是增城区融入“黄金内湾”高质量发展重大平台、重大基础设施项目研究成果，包括主报告、文本、图集、项目库；二是完成向上级相关部门沟通的报告（包括但不限于面向上级相关部门的汇报材料、沟通交流的报告、函件等）</w:t>
      </w:r>
      <w:r>
        <w:rPr>
          <w:sz w:val="24"/>
        </w:rPr>
        <w:t>。</w:t>
      </w:r>
    </w:p>
    <w:p>
      <w:pPr>
        <w:pStyle w:val="null3"/>
        <w:ind w:firstLine="480"/>
      </w:pPr>
      <w:r>
        <w:rPr>
          <w:sz w:val="24"/>
        </w:rPr>
        <w:t>5.成果要求：提交成果应包括书面成果和相应电子数据成果。（1）书面成果力求清晰、完整，标注齐全、准确，同类图纸规格尽量统一。文本和图纸合订为一本完整的书面成果。文本文件和图纸文件一并编排，统一采用A3或A4幅面装订。（2）电子数据成果应包含全部文字成果和图纸成果，其中文本文件采用Microsoft Word的doc、docx、pdf等格式，图形文件采用GIS的shp格式或AutoCAD的dwg（使用国家2000坐标系统）和jpg格式，汇报演示文件采用PPT格式，文件以光盘形式提供。（3）成果文件有下列情况之一者无效：提交的成果文件不符合本采购需求规定的成果内容和格式；无填充完整的单位图签；未盖有乙方公章或出图章；未经甲方同意而逾期送达；图纸和文字辨认不清、内容不全、粗制滥造的。</w:t>
      </w:r>
    </w:p>
    <w:p>
      <w:pPr>
        <w:pStyle w:val="null3"/>
        <w:ind w:firstLine="480"/>
      </w:pPr>
      <w:r>
        <w:rPr>
          <w:sz w:val="24"/>
        </w:rPr>
        <w:t>6</w:t>
      </w:r>
      <w:r>
        <w:rPr>
          <w:sz w:val="24"/>
        </w:rPr>
        <w:t>.</w:t>
      </w:r>
      <w:r>
        <w:rPr>
          <w:sz w:val="24"/>
        </w:rPr>
        <w:t>成果报送与审查规定：（1）成果内容必须符合本采购需求中的规定，实现本次规划工作的目标。甲方负责对成果进行技术审查；乙方负责提供审查所必需的汇报资料和方案介绍。（2）审查报送的汇报成果资料应按要求的成果套数进行制作。（3）工作提交的正式规划成果必须加注委托单位名称、技术协编单位名称、设计单位名称及法人代表、项目负责人、设计人员和协编人员名单，并加盖设计单位公章和城市规划设计出图专用章。由甲方组织对所有相关成果进行最终成果验收。（4）乙方应按约定时间报送成果文件至甲方单位，经清点文件后签收登记。（5）按照甲方要求，支付相应的项目文本打印、审查等相关费用。</w:t>
      </w:r>
    </w:p>
    <w:p>
      <w:pPr>
        <w:pStyle w:val="null3"/>
        <w:ind w:firstLine="482"/>
        <w:jc w:val="both"/>
      </w:pPr>
      <w:r>
        <w:rPr>
          <w:sz w:val="24"/>
          <w:b/>
        </w:rPr>
        <w:t>第三条：甲乙双方权利义务</w:t>
      </w:r>
    </w:p>
    <w:p>
      <w:pPr>
        <w:pStyle w:val="null3"/>
        <w:ind w:firstLine="480"/>
      </w:pPr>
      <w:r>
        <w:rPr>
          <w:sz w:val="24"/>
        </w:rPr>
        <w:t>1.甲方的权利与义务</w:t>
      </w:r>
    </w:p>
    <w:p>
      <w:pPr>
        <w:pStyle w:val="null3"/>
        <w:ind w:firstLine="480"/>
      </w:pPr>
      <w:r>
        <w:rPr>
          <w:sz w:val="24"/>
        </w:rPr>
        <w:t>（1）向乙方提供该项目有关基础资料或数据.</w:t>
      </w:r>
    </w:p>
    <w:p>
      <w:pPr>
        <w:pStyle w:val="null3"/>
        <w:ind w:firstLine="480"/>
      </w:pPr>
      <w:r>
        <w:rPr>
          <w:sz w:val="24"/>
        </w:rPr>
        <w:t>（2）指定专人负责与乙方配合和联系工作。</w:t>
      </w:r>
    </w:p>
    <w:p>
      <w:pPr>
        <w:pStyle w:val="null3"/>
        <w:ind w:firstLine="480"/>
      </w:pPr>
      <w:r>
        <w:rPr>
          <w:sz w:val="24"/>
        </w:rPr>
        <w:t>（3）协助乙方为完成本项目而进行的调研及资料收集工作。</w:t>
      </w:r>
    </w:p>
    <w:p>
      <w:pPr>
        <w:pStyle w:val="null3"/>
        <w:ind w:firstLine="480"/>
      </w:pPr>
      <w:r>
        <w:rPr>
          <w:sz w:val="24"/>
        </w:rPr>
        <w:t>（4）负责双方工作进度确认，组织成果评审及验收工作。</w:t>
      </w:r>
    </w:p>
    <w:p>
      <w:pPr>
        <w:pStyle w:val="null3"/>
        <w:ind w:firstLine="480"/>
      </w:pPr>
      <w:r>
        <w:rPr>
          <w:sz w:val="24"/>
        </w:rPr>
        <w:t>2.乙方的权利与义务</w:t>
      </w:r>
    </w:p>
    <w:p>
      <w:pPr>
        <w:pStyle w:val="null3"/>
        <w:ind w:firstLine="480"/>
      </w:pPr>
      <w:r>
        <w:rPr>
          <w:sz w:val="24"/>
        </w:rPr>
        <w:t>（1）根据合同约定及时完成工作并将成果提交给甲方。</w:t>
      </w:r>
    </w:p>
    <w:p>
      <w:pPr>
        <w:pStyle w:val="null3"/>
        <w:ind w:firstLine="480"/>
      </w:pPr>
      <w:r>
        <w:rPr>
          <w:sz w:val="24"/>
        </w:rPr>
        <w:t>（2）对甲方提出的对项目工作程序和流程、项目组织和人员配备、项目进度安排等进行的必要的不超出本合同约定工作内容范围的调整和完善意见应积极响应。</w:t>
      </w:r>
    </w:p>
    <w:p>
      <w:pPr>
        <w:pStyle w:val="null3"/>
        <w:ind w:firstLine="480"/>
      </w:pPr>
      <w:r>
        <w:rPr>
          <w:sz w:val="24"/>
        </w:rPr>
        <w:t>（3）指定专人负责与甲方配合和联系工作。</w:t>
      </w:r>
    </w:p>
    <w:p>
      <w:pPr>
        <w:pStyle w:val="null3"/>
        <w:ind w:firstLine="480"/>
      </w:pPr>
      <w:r>
        <w:rPr>
          <w:sz w:val="24"/>
        </w:rPr>
        <w:t>（4）乙方进行的收集、统计、整理工作的深度和广度应能保证本项目基础数据、资料的代表性、准确性和全面性。</w:t>
      </w:r>
    </w:p>
    <w:p>
      <w:pPr>
        <w:pStyle w:val="null3"/>
        <w:ind w:firstLine="480"/>
      </w:pPr>
      <w:r>
        <w:rPr>
          <w:sz w:val="24"/>
        </w:rPr>
        <w:t>（5）乙方的成果文件及其成果数据、资料，应保证科学合理、准确可靠，并切实可行。</w:t>
      </w:r>
    </w:p>
    <w:p>
      <w:pPr>
        <w:pStyle w:val="null3"/>
        <w:ind w:firstLine="480"/>
      </w:pPr>
      <w:r>
        <w:rPr>
          <w:sz w:val="24"/>
        </w:rPr>
        <w:t>（6）负责双方工作进度确认，并对本项目实施过程中需要进行确认的文档或成果及时进行书面形式的确认。</w:t>
      </w:r>
    </w:p>
    <w:p>
      <w:pPr>
        <w:pStyle w:val="null3"/>
        <w:ind w:firstLine="480"/>
      </w:pPr>
      <w:r>
        <w:rPr>
          <w:sz w:val="24"/>
        </w:rPr>
        <w:t>（7）项目负责人应参加评审会，并由项目负责人对成果文件向甲方和评审委员会作介绍、说明。</w:t>
      </w:r>
    </w:p>
    <w:p>
      <w:pPr>
        <w:pStyle w:val="null3"/>
        <w:ind w:firstLine="480"/>
      </w:pPr>
      <w:r>
        <w:rPr>
          <w:sz w:val="24"/>
        </w:rPr>
        <w:t>（8）项目进行过程中，除甲乙双方另有约定外，乙方项目工作人员如需更换，必须向甲方提交书面报告，取得甲方的批准后方可更换。</w:t>
      </w:r>
    </w:p>
    <w:p>
      <w:pPr>
        <w:pStyle w:val="null3"/>
        <w:ind w:firstLine="482"/>
        <w:jc w:val="both"/>
      </w:pPr>
      <w:r>
        <w:rPr>
          <w:sz w:val="24"/>
          <w:b/>
        </w:rPr>
        <w:t>第四条：甲方向乙方支付技术服务报酬及支付方式为：</w:t>
      </w:r>
    </w:p>
    <w:p>
      <w:pPr>
        <w:pStyle w:val="null3"/>
        <w:ind w:firstLine="480"/>
      </w:pPr>
      <w:r>
        <w:rPr>
          <w:sz w:val="24"/>
        </w:rPr>
        <w:t>1.本项目的编制费用为人民币（大写）</w:t>
      </w:r>
      <w:r>
        <w:rPr>
          <w:sz w:val="24"/>
          <w:u w:val="single"/>
        </w:rPr>
        <w:t xml:space="preserve">       </w:t>
      </w:r>
      <w:r>
        <w:rPr>
          <w:sz w:val="24"/>
        </w:rPr>
        <w:t>元整（¥</w:t>
      </w:r>
      <w:r>
        <w:rPr>
          <w:sz w:val="24"/>
          <w:u w:val="single"/>
        </w:rPr>
        <w:t xml:space="preserve">     </w:t>
      </w:r>
      <w:r>
        <w:rPr>
          <w:sz w:val="24"/>
        </w:rPr>
        <w:t>元）。该合同价款含成果文本印刷费、税费以及现场查勘、交通、会议等该项目所有费用。</w:t>
      </w:r>
    </w:p>
    <w:p>
      <w:pPr>
        <w:pStyle w:val="null3"/>
        <w:ind w:firstLine="480"/>
      </w:pPr>
      <w:r>
        <w:rPr>
          <w:sz w:val="24"/>
        </w:rPr>
        <w:t>2.技术服务费由甲方分</w:t>
      </w:r>
      <w:r>
        <w:rPr>
          <w:sz w:val="24"/>
          <w:u w:val="single"/>
        </w:rPr>
        <w:t>两期</w:t>
      </w:r>
      <w:r>
        <w:rPr>
          <w:sz w:val="24"/>
        </w:rPr>
        <w:t>支付乙方。具体支付方式和时间如下：</w:t>
      </w:r>
    </w:p>
    <w:p>
      <w:pPr>
        <w:pStyle w:val="null3"/>
        <w:ind w:firstLine="480"/>
      </w:pPr>
      <w:r>
        <w:rPr>
          <w:sz w:val="24"/>
        </w:rPr>
        <w:t>（1）自合同签订后，乙方向甲方提供支付凭证（账户确认书、等额发票等），甲方于财政资金到位之日起5个工作日内办理支付手续，支付</w:t>
      </w:r>
      <w:r>
        <w:rPr>
          <w:sz w:val="24"/>
          <w:u w:val="single"/>
        </w:rPr>
        <w:t>人民币柒拾玖万元</w:t>
      </w:r>
      <w:r>
        <w:rPr>
          <w:sz w:val="24"/>
        </w:rPr>
        <w:t>（¥</w:t>
      </w:r>
      <w:r>
        <w:rPr>
          <w:sz w:val="24"/>
          <w:u w:val="single"/>
        </w:rPr>
        <w:t xml:space="preserve"> 790,000.00</w:t>
      </w:r>
      <w:r>
        <w:rPr>
          <w:sz w:val="24"/>
        </w:rPr>
        <w:t>元）为预付款。</w:t>
      </w:r>
    </w:p>
    <w:p>
      <w:pPr>
        <w:pStyle w:val="null3"/>
        <w:ind w:firstLine="480"/>
      </w:pPr>
      <w:r>
        <w:rPr>
          <w:sz w:val="24"/>
        </w:rPr>
        <w:t>（2）乙方提交合同约定的终期成果，通过专家评审及甲方审查，乙方向甲方提供支付凭证后（账户确认书、等额发票等），甲方于财政资金到位之日起5个工作日内办理支付手续，支付合同尾款，即人民币</w:t>
      </w:r>
      <w:r>
        <w:rPr>
          <w:sz w:val="24"/>
          <w:u w:val="single"/>
        </w:rPr>
        <w:t xml:space="preserve">    </w:t>
      </w:r>
      <w:r>
        <w:rPr>
          <w:sz w:val="24"/>
        </w:rPr>
        <w:t>元整（¥</w:t>
      </w:r>
      <w:r>
        <w:rPr>
          <w:sz w:val="24"/>
          <w:u w:val="single"/>
        </w:rPr>
        <w:t xml:space="preserve">     </w:t>
      </w:r>
      <w:r>
        <w:rPr>
          <w:sz w:val="24"/>
        </w:rPr>
        <w:t>元）。</w:t>
      </w:r>
    </w:p>
    <w:p>
      <w:pPr>
        <w:pStyle w:val="null3"/>
        <w:ind w:firstLine="480"/>
      </w:pPr>
      <w:r>
        <w:rPr>
          <w:sz w:val="24"/>
        </w:rPr>
        <w:t>3</w:t>
      </w:r>
      <w:r>
        <w:rPr>
          <w:sz w:val="24"/>
        </w:rPr>
        <w:t>.</w:t>
      </w:r>
      <w:r>
        <w:rPr>
          <w:sz w:val="24"/>
        </w:rPr>
        <w:t>乙方凭以下资料申请编制费用：</w:t>
      </w:r>
    </w:p>
    <w:p>
      <w:pPr>
        <w:pStyle w:val="null3"/>
        <w:ind w:firstLine="480"/>
      </w:pPr>
      <w:r>
        <w:rPr>
          <w:sz w:val="24"/>
        </w:rPr>
        <w:t>（1）合同；</w:t>
      </w:r>
    </w:p>
    <w:p>
      <w:pPr>
        <w:pStyle w:val="null3"/>
        <w:ind w:firstLine="480"/>
      </w:pPr>
      <w:r>
        <w:rPr>
          <w:sz w:val="24"/>
        </w:rPr>
        <w:t>（2）乙方开具的账户确认书、正式发票、请款函；</w:t>
      </w:r>
    </w:p>
    <w:p>
      <w:pPr>
        <w:pStyle w:val="null3"/>
        <w:ind w:firstLine="480"/>
      </w:pPr>
      <w:r>
        <w:rPr>
          <w:sz w:val="24"/>
        </w:rPr>
        <w:t>（3）中标通知书。</w:t>
      </w:r>
    </w:p>
    <w:p>
      <w:pPr>
        <w:pStyle w:val="null3"/>
        <w:ind w:firstLine="480"/>
      </w:pPr>
      <w:r>
        <w:rPr>
          <w:sz w:val="24"/>
        </w:rPr>
        <w:t>4.乙方开户银行名称、地址和账号为：</w:t>
      </w:r>
    </w:p>
    <w:p>
      <w:pPr>
        <w:pStyle w:val="null3"/>
        <w:ind w:firstLine="480"/>
      </w:pPr>
      <w:r>
        <w:rPr>
          <w:sz w:val="24"/>
        </w:rPr>
        <w:t>开户名称：</w:t>
      </w:r>
    </w:p>
    <w:p>
      <w:pPr>
        <w:pStyle w:val="null3"/>
        <w:ind w:firstLine="480"/>
      </w:pPr>
      <w:r>
        <w:rPr>
          <w:sz w:val="24"/>
        </w:rPr>
        <w:t>开户银行：</w:t>
      </w:r>
    </w:p>
    <w:p>
      <w:pPr>
        <w:pStyle w:val="null3"/>
        <w:ind w:firstLine="480"/>
      </w:pPr>
      <w:r>
        <w:rPr>
          <w:sz w:val="24"/>
        </w:rPr>
        <w:t>地址：</w:t>
      </w:r>
    </w:p>
    <w:p>
      <w:pPr>
        <w:pStyle w:val="null3"/>
        <w:ind w:firstLine="480"/>
      </w:pPr>
      <w:r>
        <w:rPr>
          <w:sz w:val="24"/>
        </w:rPr>
        <w:t>账号：</w:t>
      </w:r>
    </w:p>
    <w:p>
      <w:pPr>
        <w:pStyle w:val="null3"/>
        <w:ind w:firstLine="482"/>
        <w:jc w:val="both"/>
      </w:pPr>
      <w:r>
        <w:rPr>
          <w:sz w:val="24"/>
          <w:b/>
        </w:rPr>
        <w:t>第五条：乙方确定因履行本合同应遵守的保</w:t>
      </w:r>
      <w:r>
        <w:rPr>
          <w:sz w:val="24"/>
          <w:color w:val="FFFFFF"/>
        </w:rPr>
        <w:t>1</w:t>
      </w:r>
      <w:r>
        <w:rPr>
          <w:sz w:val="24"/>
          <w:b/>
        </w:rPr>
        <w:t>密义务如下：</w:t>
      </w:r>
    </w:p>
    <w:p>
      <w:pPr>
        <w:pStyle w:val="null3"/>
        <w:ind w:firstLine="480"/>
        <w:jc w:val="both"/>
      </w:pPr>
      <w:r>
        <w:rPr>
          <w:sz w:val="24"/>
        </w:rPr>
        <w:t>1</w:t>
      </w:r>
      <w:r>
        <w:rPr>
          <w:sz w:val="24"/>
        </w:rPr>
        <w:t>.</w:t>
      </w:r>
      <w:r>
        <w:rPr>
          <w:sz w:val="24"/>
        </w:rPr>
        <w:t>保</w:t>
      </w:r>
      <w:r>
        <w:rPr>
          <w:sz w:val="24"/>
          <w:color w:val="FFFFFF"/>
        </w:rPr>
        <w:t>1</w:t>
      </w:r>
      <w:r>
        <w:rPr>
          <w:sz w:val="24"/>
        </w:rPr>
        <w:t>密内容（包括技术信息和经营信息）：与本项目有关的信息和资料。</w:t>
      </w:r>
    </w:p>
    <w:p>
      <w:pPr>
        <w:pStyle w:val="null3"/>
        <w:ind w:firstLine="480"/>
        <w:jc w:val="both"/>
      </w:pPr>
      <w:r>
        <w:rPr>
          <w:sz w:val="24"/>
        </w:rPr>
        <w:t>2</w:t>
      </w:r>
      <w:r>
        <w:rPr>
          <w:sz w:val="24"/>
        </w:rPr>
        <w:t>.</w:t>
      </w:r>
      <w:r>
        <w:rPr>
          <w:sz w:val="24"/>
        </w:rPr>
        <w:t>涉密人员范围：与该项目成果完成有关的特定人 。</w:t>
      </w:r>
    </w:p>
    <w:p>
      <w:pPr>
        <w:pStyle w:val="null3"/>
        <w:ind w:firstLine="480"/>
        <w:jc w:val="both"/>
      </w:pPr>
      <w:r>
        <w:rPr>
          <w:sz w:val="24"/>
        </w:rPr>
        <w:t>3</w:t>
      </w:r>
      <w:r>
        <w:rPr>
          <w:sz w:val="24"/>
        </w:rPr>
        <w:t>.</w:t>
      </w:r>
      <w:r>
        <w:rPr>
          <w:sz w:val="24"/>
        </w:rPr>
        <w:t>保</w:t>
      </w:r>
      <w:r>
        <w:rPr>
          <w:sz w:val="24"/>
          <w:color w:val="FFFFFF"/>
        </w:rPr>
        <w:t>1</w:t>
      </w:r>
      <w:r>
        <w:rPr>
          <w:sz w:val="24"/>
        </w:rPr>
        <w:t>密期限：项目实施过程中至永久。</w:t>
      </w:r>
    </w:p>
    <w:p>
      <w:pPr>
        <w:pStyle w:val="null3"/>
        <w:ind w:firstLine="480"/>
      </w:pPr>
      <w:r>
        <w:rPr>
          <w:sz w:val="24"/>
        </w:rPr>
        <w:t>4</w:t>
      </w:r>
      <w:r>
        <w:rPr>
          <w:sz w:val="24"/>
        </w:rPr>
        <w:t>.</w:t>
      </w:r>
      <w:r>
        <w:rPr>
          <w:sz w:val="24"/>
        </w:rPr>
        <w:t>泄密责任：乙方应当采取必要的保</w:t>
      </w:r>
      <w:r>
        <w:rPr>
          <w:sz w:val="24"/>
          <w:color w:val="FFFFFF"/>
        </w:rPr>
        <w:t>1</w:t>
      </w:r>
      <w:r>
        <w:rPr>
          <w:sz w:val="24"/>
        </w:rPr>
        <w:t>密措施，严格控制有关资料、数据和工作成果，仅工作团队及其他必要人员传阅、使用，并加强对项目成果和有关文件的管理。未经甲方许可，不得向保</w:t>
      </w:r>
      <w:r>
        <w:rPr>
          <w:sz w:val="24"/>
          <w:color w:val="FFFFFF"/>
        </w:rPr>
        <w:t>1</w:t>
      </w:r>
      <w:r>
        <w:rPr>
          <w:sz w:val="24"/>
        </w:rPr>
        <w:t>密范围以外的人传播；违反上述保</w:t>
      </w:r>
      <w:r>
        <w:rPr>
          <w:sz w:val="24"/>
          <w:color w:val="FFFFFF"/>
        </w:rPr>
        <w:t>1</w:t>
      </w:r>
      <w:r>
        <w:rPr>
          <w:sz w:val="24"/>
        </w:rPr>
        <w:t>密义务的，应承担由此给甲方造成的损失，并追究相应的法律责任。其他按法律规定承担有关责任 。</w:t>
      </w:r>
    </w:p>
    <w:p>
      <w:pPr>
        <w:pStyle w:val="null3"/>
        <w:ind w:firstLine="482"/>
        <w:jc w:val="both"/>
      </w:pPr>
      <w:r>
        <w:rPr>
          <w:sz w:val="24"/>
          <w:b/>
        </w:rPr>
        <w:t>第六条：双方确定以下列标准和方式对乙方的技术服务工作成果进行验收：</w:t>
      </w:r>
    </w:p>
    <w:p>
      <w:pPr>
        <w:pStyle w:val="null3"/>
        <w:ind w:firstLine="480"/>
      </w:pPr>
      <w:r>
        <w:rPr>
          <w:sz w:val="24"/>
        </w:rPr>
        <w:t>1.乙方完成技术服务工作的形式：编制完成各阶段成果，提交纸质和相应电子数据成果，并协助甲方完成成果的汇报、上报和审查等工作。</w:t>
      </w:r>
    </w:p>
    <w:p>
      <w:pPr>
        <w:pStyle w:val="null3"/>
        <w:ind w:firstLine="480"/>
      </w:pPr>
      <w:r>
        <w:rPr>
          <w:sz w:val="24"/>
        </w:rPr>
        <w:t>2.提交技术服务工作成果的数量：根据审查环节的需要，在提交规划成果进行审查的每个环节，乙方均应提供符合规划内容要求的纸质文本或电子文件光盘材料，数量以满足审查要求为准。</w:t>
      </w:r>
    </w:p>
    <w:p>
      <w:pPr>
        <w:pStyle w:val="null3"/>
        <w:ind w:firstLine="480"/>
      </w:pPr>
      <w:r>
        <w:rPr>
          <w:sz w:val="24"/>
        </w:rPr>
        <w:t>3.技术服务工作成果的验收标准：满足国家、广东省有关规划编制要求及国家、省、市有关法律、法规、标准、规范等要求，符合项目任务书的要求。</w:t>
      </w:r>
    </w:p>
    <w:p>
      <w:pPr>
        <w:pStyle w:val="null3"/>
        <w:ind w:firstLine="480"/>
      </w:pPr>
      <w:r>
        <w:rPr>
          <w:sz w:val="24"/>
        </w:rPr>
        <w:t>4.技术服务工作成果的验收方式：由甲方组织对所有相关成果进行技术审查、验收后结题归档。</w:t>
      </w:r>
    </w:p>
    <w:p>
      <w:pPr>
        <w:pStyle w:val="null3"/>
        <w:ind w:firstLine="480"/>
        <w:jc w:val="both"/>
      </w:pPr>
      <w:r>
        <w:rPr>
          <w:sz w:val="24"/>
        </w:rPr>
        <w:t>5.验收的时间和地点：乙方提交最终成果后，由甲方在一个月内组织审查验收，验收时间以甲方通知为准，验收地点为广州市增城区。</w:t>
      </w:r>
    </w:p>
    <w:p>
      <w:pPr>
        <w:pStyle w:val="null3"/>
        <w:ind w:firstLine="482"/>
        <w:jc w:val="both"/>
      </w:pPr>
      <w:r>
        <w:rPr>
          <w:sz w:val="24"/>
          <w:b/>
        </w:rPr>
        <w:t>第七条：项目人员要求</w:t>
      </w:r>
    </w:p>
    <w:p>
      <w:pPr>
        <w:pStyle w:val="null3"/>
        <w:ind w:firstLine="480"/>
        <w:jc w:val="both"/>
      </w:pPr>
      <w:r>
        <w:rPr>
          <w:sz w:val="24"/>
        </w:rPr>
        <w:t>双方确定，在本合同有效期内，甲方指定</w:t>
      </w:r>
      <w:r>
        <w:rPr>
          <w:sz w:val="24"/>
          <w:u w:val="single"/>
        </w:rPr>
        <w:t xml:space="preserve">     </w:t>
      </w:r>
      <w:r>
        <w:rPr>
          <w:sz w:val="24"/>
        </w:rPr>
        <w:t>为甲方项目联系人，乙方指定</w:t>
      </w:r>
      <w:r>
        <w:rPr>
          <w:sz w:val="24"/>
          <w:u w:val="single"/>
        </w:rPr>
        <w:t xml:space="preserve">     </w:t>
      </w:r>
      <w:r>
        <w:rPr>
          <w:sz w:val="24"/>
        </w:rPr>
        <w:t>为本项目联系人。项目联系人承担以下责任：</w:t>
      </w:r>
    </w:p>
    <w:p>
      <w:pPr>
        <w:pStyle w:val="null3"/>
        <w:ind w:firstLine="480"/>
        <w:jc w:val="both"/>
      </w:pPr>
      <w:r>
        <w:rPr>
          <w:sz w:val="24"/>
        </w:rPr>
        <w:t>1</w:t>
      </w:r>
      <w:r>
        <w:rPr>
          <w:sz w:val="24"/>
        </w:rPr>
        <w:t>.</w:t>
      </w:r>
      <w:r>
        <w:rPr>
          <w:sz w:val="24"/>
        </w:rPr>
        <w:t>甲方项目联系人负责经费拨付的联络、协调；配合乙方工作，进行本次工作的协调跟进，确认并接收工作成果；尽快、及时组织工作成果的审查验收；</w:t>
      </w:r>
    </w:p>
    <w:p>
      <w:pPr>
        <w:pStyle w:val="null3"/>
        <w:ind w:firstLine="480"/>
        <w:jc w:val="both"/>
      </w:pPr>
      <w:r>
        <w:rPr>
          <w:sz w:val="24"/>
        </w:rPr>
        <w:t>2</w:t>
      </w:r>
      <w:r>
        <w:rPr>
          <w:sz w:val="24"/>
        </w:rPr>
        <w:t>.</w:t>
      </w:r>
      <w:r>
        <w:rPr>
          <w:sz w:val="24"/>
        </w:rPr>
        <w:t>乙方项目联系人定期向甲方报告工作进度及完成情况，按约定期限提交工作成果；</w:t>
      </w:r>
    </w:p>
    <w:p>
      <w:pPr>
        <w:pStyle w:val="null3"/>
        <w:ind w:firstLine="480"/>
        <w:jc w:val="both"/>
      </w:pPr>
      <w:r>
        <w:rPr>
          <w:sz w:val="24"/>
        </w:rPr>
        <w:t>一方变更项目联系人的，应当及时以书面形式通知另一方，未及时通知并影响本合同履行或造成损失的，应承担相应的责任。</w:t>
      </w:r>
    </w:p>
    <w:p>
      <w:pPr>
        <w:pStyle w:val="null3"/>
        <w:ind w:firstLine="482"/>
        <w:jc w:val="both"/>
      </w:pPr>
      <w:r>
        <w:rPr>
          <w:sz w:val="24"/>
          <w:b/>
        </w:rPr>
        <w:t>第八条：双方确定：</w:t>
      </w:r>
    </w:p>
    <w:p>
      <w:pPr>
        <w:pStyle w:val="null3"/>
        <w:ind w:firstLine="480"/>
        <w:jc w:val="both"/>
      </w:pPr>
      <w:r>
        <w:rPr>
          <w:sz w:val="24"/>
        </w:rPr>
        <w:t>1</w:t>
      </w:r>
      <w:r>
        <w:rPr>
          <w:sz w:val="24"/>
        </w:rPr>
        <w:t>.</w:t>
      </w:r>
      <w:r>
        <w:rPr>
          <w:sz w:val="24"/>
        </w:rPr>
        <w:t>在本合同有效期内，甲方利用乙方提交的技术服务工作成果所完成的新的技术成果，归甲方所有。</w:t>
      </w:r>
    </w:p>
    <w:p>
      <w:pPr>
        <w:pStyle w:val="null3"/>
        <w:ind w:firstLine="480"/>
        <w:jc w:val="both"/>
      </w:pPr>
      <w:r>
        <w:rPr>
          <w:sz w:val="24"/>
        </w:rPr>
        <w:t>2</w:t>
      </w:r>
      <w:r>
        <w:rPr>
          <w:sz w:val="24"/>
        </w:rPr>
        <w:t>.</w:t>
      </w:r>
      <w:r>
        <w:rPr>
          <w:sz w:val="24"/>
        </w:rPr>
        <w:t>在本合同有效期内，乙方利用甲方提供的技术资料和工作条件所完成的新的技术成果，归甲方所有。</w:t>
      </w:r>
    </w:p>
    <w:p>
      <w:pPr>
        <w:pStyle w:val="null3"/>
        <w:ind w:firstLine="480"/>
        <w:jc w:val="both"/>
      </w:pPr>
      <w:r>
        <w:rPr>
          <w:sz w:val="24"/>
          <w:color w:val="000000"/>
        </w:rPr>
        <w:t>3</w:t>
      </w:r>
      <w:r>
        <w:rPr>
          <w:sz w:val="24"/>
          <w:color w:val="000000"/>
        </w:rPr>
        <w:t>.</w:t>
      </w:r>
      <w:r>
        <w:rPr>
          <w:sz w:val="24"/>
          <w:color w:val="000000"/>
        </w:rPr>
        <w:t>本项目项下各阶段的成果的著作权（版权）归甲方所有，项目成果署名权归甲乙双方共有。乙方保证其为完成本合同服务内容而制作并交付甲方的过程性文件、项目成果等文件，不侵犯第三人著作权及其他合法权益，如因第三人提出其著作权等侵权之诉，且由法院终审判决为乙方侵权的，则相应法律责任由乙方承担，如导致甲方遭受损失，乙方予以全部赔偿，包括但不限于甲方因处理上述赔付、索赔事项而发生的合理律师费、诉讼费、保全费、鉴定费、评估费、交通费以及向第三方支付的赔偿、补偿等。但因甲方提供资料导致的侵权除外。</w:t>
      </w:r>
    </w:p>
    <w:p>
      <w:pPr>
        <w:pStyle w:val="null3"/>
        <w:ind w:firstLine="480"/>
        <w:jc w:val="both"/>
      </w:pPr>
      <w:r>
        <w:rPr>
          <w:sz w:val="24"/>
          <w:color w:val="000000"/>
        </w:rPr>
        <w:t>4</w:t>
      </w:r>
      <w:r>
        <w:rPr>
          <w:sz w:val="24"/>
          <w:color w:val="000000"/>
        </w:rPr>
        <w:t>.</w:t>
      </w:r>
      <w:r>
        <w:rPr>
          <w:sz w:val="24"/>
          <w:color w:val="000000"/>
        </w:rPr>
        <w:t>在不影响项目成果质量和工期的情况下，乙方可在本项目中应用自有知识产权的如下高新技术/已有相关自主知识产权和科技成果。</w:t>
      </w:r>
    </w:p>
    <w:p>
      <w:pPr>
        <w:pStyle w:val="null3"/>
        <w:ind w:firstLine="482"/>
        <w:jc w:val="both"/>
      </w:pPr>
      <w:r>
        <w:rPr>
          <w:sz w:val="24"/>
          <w:b/>
        </w:rPr>
        <w:t>第九条：双方确定，按以下约定承担各自的违约责任：</w:t>
      </w:r>
    </w:p>
    <w:p>
      <w:pPr>
        <w:pStyle w:val="null3"/>
        <w:ind w:firstLine="480"/>
        <w:jc w:val="both"/>
      </w:pPr>
      <w:r>
        <w:rPr>
          <w:sz w:val="24"/>
        </w:rPr>
        <w:t>1</w:t>
      </w:r>
      <w:r>
        <w:rPr>
          <w:sz w:val="24"/>
        </w:rPr>
        <w:t>.</w:t>
      </w:r>
      <w:r>
        <w:rPr>
          <w:sz w:val="24"/>
        </w:rPr>
        <w:t>因甲方原因，甲方未能在合同规定的时间内向乙方支付合同款，每逾期一天，甲方向乙方支付逾期未付金额的万分之五的违约金，支付违约金总金额不超合同总金额的5%。</w:t>
      </w:r>
    </w:p>
    <w:p>
      <w:pPr>
        <w:pStyle w:val="null3"/>
        <w:ind w:firstLine="480"/>
        <w:jc w:val="both"/>
      </w:pPr>
      <w:r>
        <w:rPr>
          <w:sz w:val="24"/>
        </w:rPr>
        <w:t>2</w:t>
      </w:r>
      <w:r>
        <w:rPr>
          <w:sz w:val="24"/>
        </w:rPr>
        <w:t>.</w:t>
      </w:r>
      <w:r>
        <w:rPr>
          <w:sz w:val="24"/>
        </w:rPr>
        <w:t>因上级政策要求变化或其他不可抗力因素影响，致使项目难以按期完成各阶段工作任务，项目工期顺延并应由甲乙双方协商确定，并签订补充协议。</w:t>
      </w:r>
    </w:p>
    <w:p>
      <w:pPr>
        <w:pStyle w:val="null3"/>
        <w:ind w:firstLine="480"/>
        <w:jc w:val="both"/>
      </w:pPr>
      <w:r>
        <w:rPr>
          <w:sz w:val="24"/>
        </w:rPr>
        <w:t>3</w:t>
      </w:r>
      <w:r>
        <w:rPr>
          <w:sz w:val="24"/>
        </w:rPr>
        <w:t>.</w:t>
      </w:r>
      <w:r>
        <w:rPr>
          <w:sz w:val="24"/>
        </w:rPr>
        <w:t>因乙方原因，未能在合同规定时间内向甲方交付项目成果，每逾期一天，乙方向甲方支付合同总费用万分之五的违约金,支付违约金总金额不超项目总金额的5%。乙方逾期超30天的，甲方有权解除本合同，乙方应在合同解除后5天内返还已收取的全部款项，并向甲方支付相当于合同总金额的5%的违约金。</w:t>
      </w:r>
    </w:p>
    <w:p>
      <w:pPr>
        <w:pStyle w:val="null3"/>
        <w:ind w:firstLine="480"/>
        <w:jc w:val="both"/>
      </w:pPr>
      <w:r>
        <w:rPr>
          <w:sz w:val="24"/>
        </w:rPr>
        <w:t>4</w:t>
      </w:r>
      <w:r>
        <w:rPr>
          <w:sz w:val="24"/>
        </w:rPr>
        <w:t>.</w:t>
      </w:r>
      <w:r>
        <w:rPr>
          <w:sz w:val="24"/>
        </w:rPr>
        <w:t>乙方对规划设计图纸资料及文件出现的遗漏或错误负责无偿修改或补充。</w:t>
      </w:r>
    </w:p>
    <w:p>
      <w:pPr>
        <w:pStyle w:val="null3"/>
        <w:ind w:firstLine="480"/>
        <w:jc w:val="both"/>
      </w:pPr>
      <w:r>
        <w:rPr>
          <w:sz w:val="24"/>
        </w:rPr>
        <w:t>5</w:t>
      </w:r>
      <w:r>
        <w:rPr>
          <w:sz w:val="24"/>
        </w:rPr>
        <w:t>.</w:t>
      </w:r>
      <w:r>
        <w:rPr>
          <w:sz w:val="24"/>
        </w:rPr>
        <w:t>乙方提交的成果未能通过甲方验收的，乙方应当在甲方规定的时间内采取补救措施，并重新向甲方提交。因此造成迟延提交的，乙方应当根据本条第</w:t>
      </w:r>
      <w:r>
        <w:rPr>
          <w:sz w:val="24"/>
          <w:u w:val="single"/>
        </w:rPr>
        <w:t>3</w:t>
      </w:r>
      <w:r>
        <w:rPr>
          <w:sz w:val="24"/>
        </w:rPr>
        <w:t>款的规定承担违约责任，因政府政策调整、项目需求发生颠覆性变更，以及由甲方自身原因所造成的延迟除外。</w:t>
      </w:r>
    </w:p>
    <w:p>
      <w:pPr>
        <w:pStyle w:val="null3"/>
        <w:ind w:firstLine="480"/>
        <w:jc w:val="both"/>
      </w:pPr>
      <w:r>
        <w:rPr>
          <w:sz w:val="24"/>
        </w:rPr>
        <w:t>6</w:t>
      </w:r>
      <w:r>
        <w:rPr>
          <w:sz w:val="24"/>
        </w:rPr>
        <w:t>.</w:t>
      </w:r>
      <w:r>
        <w:rPr>
          <w:sz w:val="24"/>
        </w:rPr>
        <w:t>合同生效后，因乙方单方原因，乙方要求停止或解除合同，乙方除应返还甲方前期已支付费用（可扣除已审查通过的工作量的应付费用）外，还应按合同总价的20%支付违约金。乙方应当在接到甲方书面通知之日起5个工作日内将相关费用及违约金一次支付给甲方。</w:t>
      </w:r>
    </w:p>
    <w:p>
      <w:pPr>
        <w:pStyle w:val="null3"/>
        <w:ind w:firstLine="482"/>
        <w:jc w:val="both"/>
      </w:pPr>
      <w:r>
        <w:rPr>
          <w:sz w:val="24"/>
          <w:b/>
        </w:rPr>
        <w:t>第十条：双方确定，出现不可抗力事件或者重大情势变更的情形，按以下方式处理：</w:t>
      </w:r>
    </w:p>
    <w:p>
      <w:pPr>
        <w:pStyle w:val="null3"/>
        <w:ind w:firstLine="480"/>
        <w:jc w:val="both"/>
      </w:pPr>
      <w:r>
        <w:rPr>
          <w:sz w:val="24"/>
        </w:rPr>
        <w:t>1.由于政策变动、不可预见、不可避免、不可克服等不可抗力或者重大情势变更，导致一方不能正常履行合同义务的，应当在不可抗力或者重大情势变更发生之日起  天内以书面形式通知对方。</w:t>
      </w:r>
    </w:p>
    <w:p>
      <w:pPr>
        <w:pStyle w:val="null3"/>
        <w:ind w:firstLine="480"/>
        <w:jc w:val="both"/>
      </w:pPr>
      <w:r>
        <w:rPr>
          <w:sz w:val="24"/>
        </w:rPr>
        <w:t>2.不可抗力事件或者重大情势变更发生后，甲方和乙方应当积极寻求以合理的方式履行本合同。如因不可抗力或者重大情势变更致使合同部分或者全部无法继续履行的，双方可协商修订或者解除本合同，协商不成的，甲方有权解除合同，甲方应按乙方已完成的实际工作量与乙方结算支付相应费用，乙方将已完成的阶段性成果交给甲方。若至解除本合同时乙方实际产生的服务费用低于预付款的，乙方应当在收到甲方书面通知之日起5个工作日内一次性退回差额部分。若因乙方故意拖延履行后发生不可抗力或者重大情势变更，由此给甲方造成的损失由乙方承担赔偿责任，且乙方应当向甲方支付合同总额5%的违约金。</w:t>
      </w:r>
    </w:p>
    <w:p>
      <w:pPr>
        <w:pStyle w:val="null3"/>
        <w:ind w:firstLine="482"/>
        <w:jc w:val="both"/>
      </w:pPr>
      <w:r>
        <w:rPr>
          <w:sz w:val="24"/>
          <w:b/>
        </w:rPr>
        <w:t>第十一条：</w:t>
      </w:r>
      <w:r>
        <w:rPr>
          <w:sz w:val="24"/>
        </w:rPr>
        <w:t>双方因履行本合同而发生的争议，应协商、调解解决。协商、调解不成的，依法向甲方所在地人民法院起诉。</w:t>
      </w:r>
    </w:p>
    <w:p>
      <w:pPr>
        <w:pStyle w:val="null3"/>
        <w:ind w:firstLine="482"/>
        <w:jc w:val="both"/>
      </w:pPr>
      <w:r>
        <w:rPr>
          <w:sz w:val="24"/>
          <w:b/>
        </w:rPr>
        <w:t>第十二条：双方确定：本合同及相关附件中所涉及的有关名词和技术术语，其定义和解释如下：</w:t>
      </w:r>
    </w:p>
    <w:p>
      <w:pPr>
        <w:pStyle w:val="null3"/>
        <w:ind w:firstLine="480"/>
        <w:jc w:val="both"/>
      </w:pPr>
      <w:r>
        <w:rPr>
          <w:sz w:val="24"/>
        </w:rPr>
        <w:t>1.本合同的附件是合同的重要组成部分，与合同有同等法律效力；</w:t>
      </w:r>
    </w:p>
    <w:p>
      <w:pPr>
        <w:pStyle w:val="null3"/>
        <w:ind w:firstLine="480"/>
        <w:jc w:val="both"/>
      </w:pPr>
      <w:r>
        <w:rPr>
          <w:sz w:val="24"/>
        </w:rPr>
        <w:t>2.对本合同的理解与解释应依据合同目的和文本原义及业界通行的理解和惯例进行，本合同内的标题不应影响本合同的解释。</w:t>
      </w:r>
    </w:p>
    <w:p>
      <w:pPr>
        <w:pStyle w:val="null3"/>
        <w:ind w:firstLine="482"/>
        <w:jc w:val="both"/>
      </w:pPr>
      <w:r>
        <w:rPr>
          <w:sz w:val="24"/>
          <w:b/>
        </w:rPr>
        <w:t>第十三条：双方约定本合同其他相关事项为：</w:t>
      </w:r>
    </w:p>
    <w:p>
      <w:pPr>
        <w:pStyle w:val="null3"/>
        <w:ind w:firstLine="480"/>
        <w:jc w:val="both"/>
      </w:pPr>
      <w:r>
        <w:rPr>
          <w:sz w:val="24"/>
        </w:rPr>
        <w:t>1.乙方提交的项目成果质量经甲方组织评审认为不符合招标文件要求的，乙方应根据甲方的要求及时重新提供或采取其它补救措施。</w:t>
      </w:r>
    </w:p>
    <w:p>
      <w:pPr>
        <w:pStyle w:val="null3"/>
        <w:ind w:firstLine="480"/>
        <w:jc w:val="both"/>
      </w:pPr>
      <w:r>
        <w:rPr>
          <w:sz w:val="24"/>
        </w:rPr>
        <w:t>2.甲方未及时组织成果评审以致影响乙方工作进度的，甲方应当积极采取补救措施，保障乙方按合同支付经费的权益，具体由双方协商。</w:t>
      </w:r>
    </w:p>
    <w:p>
      <w:pPr>
        <w:pStyle w:val="null3"/>
        <w:ind w:firstLine="480"/>
        <w:jc w:val="both"/>
      </w:pPr>
      <w:r>
        <w:rPr>
          <w:sz w:val="24"/>
        </w:rPr>
        <w:t>3.由于乙方未在合同约定的期限内提交项目最终成果，或者由于乙方提交的最终成果不符合本项目采购需求要求，并在合同约定的最终期限内未修改完毕，因政府政策调整、项目需求发生颠覆性变更，以及由甲方自身原因所造成的延迟除外，造成本项目剩余资金被财政部门收回的，甲方将不承担向财政局申请拨付合同未完成阶段技术服务费的义务，乙方仍应当继续按照本项目采购需求的要求完成最终成果直至通过甲方验收，否则，乙方应向甲方支付该阶段技术服务费用15%的违约金。</w:t>
      </w:r>
    </w:p>
    <w:p>
      <w:pPr>
        <w:pStyle w:val="null3"/>
        <w:ind w:firstLine="482"/>
        <w:jc w:val="both"/>
      </w:pPr>
      <w:r>
        <w:rPr>
          <w:sz w:val="24"/>
          <w:b/>
        </w:rPr>
        <w:t>第十四条：本合同一式</w:t>
      </w:r>
      <w:r>
        <w:rPr>
          <w:sz w:val="24"/>
        </w:rPr>
        <w:t>___</w:t>
      </w:r>
      <w:r>
        <w:rPr>
          <w:sz w:val="24"/>
          <w:b/>
        </w:rPr>
        <w:t>份，甲乙双方各执</w:t>
      </w:r>
      <w:r>
        <w:rPr>
          <w:sz w:val="24"/>
          <w:b/>
          <w:u w:val="single"/>
        </w:rPr>
        <w:t xml:space="preserve">     </w:t>
      </w:r>
      <w:r>
        <w:rPr>
          <w:sz w:val="24"/>
          <w:b/>
        </w:rPr>
        <w:t>份，采购代理执</w:t>
      </w:r>
      <w:r>
        <w:rPr>
          <w:sz w:val="24"/>
        </w:rPr>
        <w:t>___</w:t>
      </w:r>
      <w:r>
        <w:rPr>
          <w:sz w:val="24"/>
          <w:b/>
        </w:rPr>
        <w:t>份，监督管理部门执</w:t>
      </w:r>
      <w:r>
        <w:rPr>
          <w:sz w:val="24"/>
        </w:rPr>
        <w:t>___</w:t>
      </w:r>
      <w:r>
        <w:rPr>
          <w:sz w:val="24"/>
          <w:b/>
        </w:rPr>
        <w:t>份，具有同等法律效力。</w:t>
      </w:r>
    </w:p>
    <w:p>
      <w:pPr>
        <w:pStyle w:val="null3"/>
        <w:ind w:firstLine="482"/>
        <w:jc w:val="both"/>
      </w:pPr>
      <w:r>
        <w:rPr>
          <w:sz w:val="24"/>
          <w:b/>
        </w:rPr>
        <w:t>第十五条：本合同经双方签字盖章后生效。</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0"/>
      </w:pPr>
      <w:r>
        <w:rPr>
          <w:sz w:val="24"/>
        </w:rPr>
        <w:t>（本页为盖章页，无正文）</w:t>
      </w:r>
    </w:p>
    <w:p>
      <w:pPr>
        <w:pStyle w:val="null3"/>
        <w:ind w:firstLine="480"/>
      </w:pPr>
      <w:r>
        <w:rPr>
          <w:sz w:val="24"/>
        </w:rPr>
        <w:t>甲方：（盖章）</w:t>
      </w:r>
    </w:p>
    <w:p>
      <w:pPr>
        <w:pStyle w:val="null3"/>
        <w:ind w:firstLine="480"/>
        <w:jc w:val="both"/>
      </w:pPr>
      <w:r>
        <w:rPr>
          <w:sz w:val="24"/>
        </w:rPr>
        <w:t>法定代表人／委托代理人：（签名）</w:t>
      </w:r>
    </w:p>
    <w:p>
      <w:pPr>
        <w:pStyle w:val="null3"/>
        <w:ind w:firstLine="480"/>
        <w:jc w:val="both"/>
      </w:pPr>
      <w:r>
        <w:rPr>
          <w:sz w:val="24"/>
        </w:rPr>
        <w:t xml:space="preserve">                                                  年  月  日</w:t>
      </w:r>
    </w:p>
    <w:p>
      <w:pPr>
        <w:pStyle w:val="null3"/>
        <w:ind w:firstLine="480"/>
        <w:jc w:val="both"/>
      </w:pPr>
      <w:r>
        <w:rPr>
          <w:sz w:val="24"/>
        </w:rPr>
        <w:t>乙方：（盖章）</w:t>
      </w:r>
    </w:p>
    <w:p>
      <w:pPr>
        <w:pStyle w:val="null3"/>
        <w:ind w:firstLine="480"/>
        <w:jc w:val="both"/>
      </w:pPr>
      <w:r>
        <w:rPr>
          <w:sz w:val="24"/>
        </w:rPr>
        <w:t>法定代表人／委托代理人：（签名）</w:t>
      </w:r>
    </w:p>
    <w:p>
      <w:pPr>
        <w:pStyle w:val="null3"/>
        <w:ind w:firstLine="480"/>
        <w:jc w:val="both"/>
      </w:pPr>
      <w:r>
        <w:rPr>
          <w:sz w:val="24"/>
        </w:rPr>
        <w:t xml:space="preserve">                                                  年  月  日</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pPr>
      <w:r>
        <w:rPr>
          <w:sz w:val="24"/>
        </w:rPr>
        <w:t>印花税票粘贴处：</w:t>
      </w:r>
    </w:p>
    <w:p>
      <w:pPr>
        <w:pStyle w:val="null3"/>
      </w:pPr>
      <w:r>
        <w:rPr>
          <w:sz w:val="24"/>
        </w:rPr>
        <w:t>（以下由技术合同登记机构填写）</w:t>
      </w:r>
    </w:p>
    <w:p>
      <w:pPr>
        <w:pStyle w:val="null3"/>
        <w:ind w:firstLine="480"/>
        <w:jc w:val="both"/>
      </w:pPr>
      <w:r>
        <w:rPr>
          <w:sz w:val="24"/>
        </w:rPr>
        <w:t>合同登记编号：</w:t>
      </w:r>
    </w:p>
    <w:tbl>
      <w:tblPr>
        <w:tblW w:w="0" w:type="auto"/>
        <w:tblBorders>
          <w:top w:val="none" w:color="000000" w:sz="4"/>
          <w:left w:val="none" w:color="000000" w:sz="4"/>
          <w:bottom w:val="none" w:color="000000" w:sz="4"/>
          <w:right w:val="none" w:color="000000" w:sz="4"/>
          <w:insideH w:val="none"/>
          <w:insideV w:val="none"/>
        </w:tblBorders>
      </w:tblPr>
      <w:tblGrid>
        <w:gridCol w:w="467"/>
        <w:gridCol w:w="467"/>
        <w:gridCol w:w="467"/>
        <w:gridCol w:w="467"/>
        <w:gridCol w:w="467"/>
        <w:gridCol w:w="467"/>
        <w:gridCol w:w="467"/>
        <w:gridCol w:w="467"/>
        <w:gridCol w:w="467"/>
        <w:gridCol w:w="467"/>
        <w:gridCol w:w="467"/>
        <w:gridCol w:w="467"/>
        <w:gridCol w:w="467"/>
        <w:gridCol w:w="467"/>
        <w:gridCol w:w="467"/>
        <w:gridCol w:w="467"/>
      </w:tblGrid>
      <w:tr>
        <w:tc>
          <w:tcPr>
            <w:tcW w:type="dxa" w:w="467"/>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380"/>
              <w:jc w:val="center"/>
            </w:pPr>
          </w:p>
        </w:tc>
        <w:tc>
          <w:tcPr>
            <w:tcW w:type="dxa" w:w="467"/>
            <w:tcBorders>
              <w:top w:val="single" w:color="000000" w:sz="4"/>
              <w:left w:val="none" w:color="000000" w:sz="4"/>
              <w:bottom w:val="single" w:color="000000" w:sz="4"/>
              <w:right w:val="single" w:color="000000" w:sz="4"/>
            </w:tcBorders>
            <w:tcMar>
              <w:top w:type="dxa" w:w="0"/>
              <w:left w:type="dxa" w:w="105"/>
              <w:bottom w:type="dxa" w:w="0"/>
              <w:right w:type="dxa" w:w="105"/>
            </w:tcMar>
          </w:tcPr>
          <w:p/>
        </w:tc>
        <w:tc>
          <w:tcPr>
            <w:tcW w:type="dxa" w:w="467"/>
            <w:tcBorders>
              <w:top w:val="single" w:color="000000" w:sz="4"/>
              <w:left w:val="none" w:color="000000" w:sz="4"/>
              <w:bottom w:val="single" w:color="000000" w:sz="4"/>
              <w:right w:val="single" w:color="000000" w:sz="4"/>
            </w:tcBorders>
            <w:tcMar>
              <w:top w:type="dxa" w:w="0"/>
              <w:left w:type="dxa" w:w="105"/>
              <w:bottom w:type="dxa" w:w="0"/>
              <w:right w:type="dxa" w:w="105"/>
            </w:tcMar>
          </w:tcPr>
          <w:p/>
        </w:tc>
        <w:tc>
          <w:tcPr>
            <w:tcW w:type="dxa" w:w="467"/>
            <w:tcBorders>
              <w:top w:val="single" w:color="000000" w:sz="4"/>
              <w:left w:val="none" w:color="000000" w:sz="4"/>
              <w:bottom w:val="single" w:color="000000" w:sz="4"/>
              <w:right w:val="single" w:color="000000" w:sz="4"/>
            </w:tcBorders>
            <w:tcMar>
              <w:top w:type="dxa" w:w="0"/>
              <w:left w:type="dxa" w:w="105"/>
              <w:bottom w:type="dxa" w:w="0"/>
              <w:right w:type="dxa" w:w="105"/>
            </w:tcMar>
          </w:tcPr>
          <w:p/>
        </w:tc>
        <w:tc>
          <w:tcPr>
            <w:tcW w:type="dxa" w:w="467"/>
            <w:tcBorders>
              <w:top w:val="single" w:color="000000" w:sz="4"/>
              <w:left w:val="none" w:color="000000" w:sz="4"/>
              <w:bottom w:val="single" w:color="000000" w:sz="4"/>
              <w:right w:val="single" w:color="000000" w:sz="4"/>
            </w:tcBorders>
            <w:tcMar>
              <w:top w:type="dxa" w:w="0"/>
              <w:left w:type="dxa" w:w="105"/>
              <w:bottom w:type="dxa" w:w="0"/>
              <w:right w:type="dxa" w:w="105"/>
            </w:tcMar>
          </w:tcPr>
          <w:p/>
        </w:tc>
        <w:tc>
          <w:tcPr>
            <w:tcW w:type="dxa" w:w="467"/>
            <w:tcBorders>
              <w:top w:val="single" w:color="000000" w:sz="4"/>
              <w:left w:val="none" w:color="000000" w:sz="4"/>
              <w:bottom w:val="single" w:color="000000" w:sz="4"/>
              <w:right w:val="single" w:color="000000" w:sz="4"/>
            </w:tcBorders>
            <w:tcMar>
              <w:top w:type="dxa" w:w="0"/>
              <w:left w:type="dxa" w:w="105"/>
              <w:bottom w:type="dxa" w:w="0"/>
              <w:right w:type="dxa" w:w="105"/>
            </w:tcMar>
          </w:tcPr>
          <w:p/>
        </w:tc>
        <w:tc>
          <w:tcPr>
            <w:tcW w:type="dxa" w:w="467"/>
            <w:tcBorders>
              <w:top w:val="single" w:color="000000" w:sz="4"/>
              <w:left w:val="none" w:color="000000" w:sz="4"/>
              <w:bottom w:val="single" w:color="000000" w:sz="4"/>
              <w:right w:val="single" w:color="000000" w:sz="4"/>
            </w:tcBorders>
            <w:tcMar>
              <w:top w:type="dxa" w:w="0"/>
              <w:left w:type="dxa" w:w="105"/>
              <w:bottom w:type="dxa" w:w="0"/>
              <w:right w:type="dxa" w:w="105"/>
            </w:tcMar>
          </w:tcPr>
          <w:p/>
        </w:tc>
        <w:tc>
          <w:tcPr>
            <w:tcW w:type="dxa" w:w="467"/>
            <w:tcBorders>
              <w:top w:val="single" w:color="000000" w:sz="4"/>
              <w:left w:val="none" w:color="000000" w:sz="4"/>
              <w:bottom w:val="single" w:color="000000" w:sz="4"/>
              <w:right w:val="single" w:color="000000" w:sz="4"/>
            </w:tcBorders>
            <w:tcMar>
              <w:top w:type="dxa" w:w="0"/>
              <w:left w:type="dxa" w:w="105"/>
              <w:bottom w:type="dxa" w:w="0"/>
              <w:right w:type="dxa" w:w="105"/>
            </w:tcMar>
          </w:tcPr>
          <w:p/>
        </w:tc>
        <w:tc>
          <w:tcPr>
            <w:tcW w:type="dxa" w:w="467"/>
            <w:tcBorders>
              <w:top w:val="single" w:color="000000" w:sz="4"/>
              <w:left w:val="none" w:color="000000" w:sz="4"/>
              <w:bottom w:val="single" w:color="000000" w:sz="4"/>
              <w:right w:val="single" w:color="000000" w:sz="4"/>
            </w:tcBorders>
            <w:tcMar>
              <w:top w:type="dxa" w:w="0"/>
              <w:left w:type="dxa" w:w="105"/>
              <w:bottom w:type="dxa" w:w="0"/>
              <w:right w:type="dxa" w:w="105"/>
            </w:tcMar>
          </w:tcPr>
          <w:p/>
        </w:tc>
        <w:tc>
          <w:tcPr>
            <w:tcW w:type="dxa" w:w="467"/>
            <w:tcBorders>
              <w:top w:val="single" w:color="000000" w:sz="4"/>
              <w:left w:val="none" w:color="000000" w:sz="4"/>
              <w:bottom w:val="single" w:color="000000" w:sz="4"/>
              <w:right w:val="single" w:color="000000" w:sz="4"/>
            </w:tcBorders>
            <w:tcMar>
              <w:top w:type="dxa" w:w="0"/>
              <w:left w:type="dxa" w:w="105"/>
              <w:bottom w:type="dxa" w:w="0"/>
              <w:right w:type="dxa" w:w="105"/>
            </w:tcMar>
          </w:tcPr>
          <w:p/>
        </w:tc>
        <w:tc>
          <w:tcPr>
            <w:tcW w:type="dxa" w:w="467"/>
            <w:tcBorders>
              <w:top w:val="single" w:color="000000" w:sz="4"/>
              <w:left w:val="none" w:color="000000" w:sz="4"/>
              <w:bottom w:val="single" w:color="000000" w:sz="4"/>
              <w:right w:val="single" w:color="000000" w:sz="4"/>
            </w:tcBorders>
            <w:tcMar>
              <w:top w:type="dxa" w:w="0"/>
              <w:left w:type="dxa" w:w="105"/>
              <w:bottom w:type="dxa" w:w="0"/>
              <w:right w:type="dxa" w:w="105"/>
            </w:tcMar>
          </w:tcPr>
          <w:p/>
        </w:tc>
        <w:tc>
          <w:tcPr>
            <w:tcW w:type="dxa" w:w="467"/>
            <w:tcBorders>
              <w:top w:val="single" w:color="000000" w:sz="4"/>
              <w:left w:val="none" w:color="000000" w:sz="4"/>
              <w:bottom w:val="single" w:color="000000" w:sz="4"/>
              <w:right w:val="single" w:color="000000" w:sz="4"/>
            </w:tcBorders>
            <w:tcMar>
              <w:top w:type="dxa" w:w="0"/>
              <w:left w:type="dxa" w:w="105"/>
              <w:bottom w:type="dxa" w:w="0"/>
              <w:right w:type="dxa" w:w="105"/>
            </w:tcMar>
          </w:tcPr>
          <w:p/>
        </w:tc>
        <w:tc>
          <w:tcPr>
            <w:tcW w:type="dxa" w:w="467"/>
            <w:tcBorders>
              <w:top w:val="single" w:color="000000" w:sz="4"/>
              <w:left w:val="none" w:color="000000" w:sz="4"/>
              <w:bottom w:val="single" w:color="000000" w:sz="4"/>
              <w:right w:val="single" w:color="000000" w:sz="4"/>
            </w:tcBorders>
            <w:tcMar>
              <w:top w:type="dxa" w:w="0"/>
              <w:left w:type="dxa" w:w="105"/>
              <w:bottom w:type="dxa" w:w="0"/>
              <w:right w:type="dxa" w:w="105"/>
            </w:tcMar>
          </w:tcPr>
          <w:p/>
        </w:tc>
        <w:tc>
          <w:tcPr>
            <w:tcW w:type="dxa" w:w="467"/>
            <w:tcBorders>
              <w:top w:val="single" w:color="000000" w:sz="4"/>
              <w:left w:val="none" w:color="000000" w:sz="4"/>
              <w:bottom w:val="single" w:color="000000" w:sz="4"/>
              <w:right w:val="single" w:color="000000" w:sz="4"/>
            </w:tcBorders>
            <w:tcMar>
              <w:top w:type="dxa" w:w="0"/>
              <w:left w:type="dxa" w:w="105"/>
              <w:bottom w:type="dxa" w:w="0"/>
              <w:right w:type="dxa" w:w="105"/>
            </w:tcMar>
          </w:tcPr>
          <w:p/>
        </w:tc>
        <w:tc>
          <w:tcPr>
            <w:tcW w:type="dxa" w:w="467"/>
            <w:tcBorders>
              <w:top w:val="single" w:color="000000" w:sz="4"/>
              <w:left w:val="none" w:color="000000" w:sz="4"/>
              <w:bottom w:val="single" w:color="000000" w:sz="4"/>
              <w:right w:val="single" w:color="000000" w:sz="4"/>
            </w:tcBorders>
            <w:tcMar>
              <w:top w:type="dxa" w:w="0"/>
              <w:left w:type="dxa" w:w="105"/>
              <w:bottom w:type="dxa" w:w="0"/>
              <w:right w:type="dxa" w:w="105"/>
            </w:tcMar>
          </w:tcPr>
          <w:p/>
        </w:tc>
        <w:tc>
          <w:tcPr>
            <w:tcW w:type="dxa" w:w="467"/>
            <w:tcBorders>
              <w:top w:val="single" w:color="000000" w:sz="4"/>
              <w:left w:val="none" w:color="000000" w:sz="4"/>
              <w:bottom w:val="single" w:color="000000" w:sz="4"/>
              <w:right w:val="single" w:color="000000" w:sz="4"/>
            </w:tcBorders>
            <w:tcMar>
              <w:top w:type="dxa" w:w="0"/>
              <w:left w:type="dxa" w:w="105"/>
              <w:bottom w:type="dxa" w:w="0"/>
              <w:right w:type="dxa" w:w="105"/>
            </w:tcMar>
          </w:tcPr>
          <w:p/>
        </w:tc>
      </w:tr>
    </w:tbl>
    <w:p>
      <w:pPr>
        <w:pStyle w:val="null3"/>
        <w:jc w:val="both"/>
      </w:pPr>
      <w:r>
        <w:rPr>
          <w:sz w:val="24"/>
        </w:rPr>
        <w:t>1．申请登记人：</w:t>
      </w:r>
    </w:p>
    <w:p>
      <w:pPr>
        <w:pStyle w:val="null3"/>
        <w:ind w:firstLine="570"/>
        <w:jc w:val="both"/>
      </w:pPr>
      <w:r>
        <w:rPr>
          <w:sz w:val="24"/>
        </w:rPr>
        <w:t>2．登记材料：（1）</w:t>
      </w:r>
    </w:p>
    <w:p>
      <w:pPr>
        <w:pStyle w:val="null3"/>
        <w:ind w:firstLine="570"/>
        <w:jc w:val="both"/>
      </w:pPr>
      <w:r>
        <w:rPr>
          <w:sz w:val="24"/>
        </w:rPr>
        <w:t>（2）</w:t>
      </w:r>
    </w:p>
    <w:p>
      <w:pPr>
        <w:pStyle w:val="null3"/>
        <w:ind w:firstLine="570"/>
        <w:jc w:val="both"/>
      </w:pPr>
      <w:r>
        <w:rPr>
          <w:sz w:val="24"/>
        </w:rPr>
        <w:t xml:space="preserve"> （3）</w:t>
      </w:r>
    </w:p>
    <w:p>
      <w:pPr>
        <w:pStyle w:val="null3"/>
        <w:ind w:firstLine="570"/>
        <w:jc w:val="both"/>
      </w:pPr>
      <w:r>
        <w:rPr>
          <w:sz w:val="24"/>
        </w:rPr>
        <w:t>3．合同类型：</w:t>
      </w:r>
    </w:p>
    <w:p>
      <w:pPr>
        <w:pStyle w:val="null3"/>
        <w:ind w:firstLine="570"/>
        <w:jc w:val="both"/>
      </w:pPr>
      <w:r>
        <w:rPr>
          <w:sz w:val="24"/>
        </w:rPr>
        <w:t>4．合同交易额：</w:t>
      </w:r>
    </w:p>
    <w:p>
      <w:pPr>
        <w:pStyle w:val="null3"/>
        <w:ind w:firstLine="570"/>
        <w:jc w:val="both"/>
      </w:pPr>
      <w:r>
        <w:rPr>
          <w:sz w:val="24"/>
        </w:rPr>
        <w:t>5．技术交易额：</w:t>
      </w:r>
    </w:p>
    <w:p>
      <w:pPr>
        <w:pStyle w:val="null3"/>
        <w:ind w:firstLine="570"/>
        <w:jc w:val="both"/>
      </w:pPr>
      <w:r>
        <w:rPr>
          <w:sz w:val="24"/>
        </w:rPr>
        <w:t xml:space="preserve">技术合同登记机构（印章）        </w:t>
      </w:r>
    </w:p>
    <w:p>
      <w:pPr>
        <w:pStyle w:val="null3"/>
        <w:ind w:firstLine="570"/>
        <w:jc w:val="right"/>
      </w:pPr>
      <w:r>
        <w:rPr>
          <w:sz w:val="24"/>
        </w:rPr>
        <w:t xml:space="preserve">经办人：       </w:t>
      </w:r>
    </w:p>
    <w:p>
      <w:pPr>
        <w:pStyle w:val="null3"/>
        <w:ind w:firstLine="570"/>
        <w:jc w:val="right"/>
      </w:pPr>
      <w:r>
        <w:rPr>
          <w:sz w:val="24"/>
        </w:rPr>
        <w:t>年   月   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440118-2025-03264</w:t>
      </w:r>
    </w:p>
    <w:p>
      <w:pPr>
        <w:pStyle w:val="null3"/>
        <w:jc w:val="center"/>
        <w:outlineLvl w:val="3"/>
      </w:pPr>
      <w:r>
        <w:rPr>
          <w:sz w:val="24"/>
          <w:b/>
        </w:rPr>
        <w:t>采购项目编号：</w:t>
      </w:r>
      <w:r>
        <w:rPr>
          <w:sz w:val="24"/>
          <w:b/>
        </w:rPr>
        <w:t>GZCQC2500FG06013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广州程启招标代理有限公司</w:t>
      </w:r>
    </w:p>
    <w:p>
      <w:pPr>
        <w:pStyle w:val="null3"/>
        <w:ind w:firstLine="480"/>
      </w:pPr>
      <w:r>
        <w:rPr/>
        <w:t xml:space="preserve"> 你方组织的</w:t>
      </w:r>
      <w:r>
        <w:rPr>
          <w:u w:val="single"/>
        </w:rPr>
        <w:t>“</w:t>
      </w:r>
      <w:r>
        <w:rPr>
          <w:u w:val="single"/>
        </w:rPr>
        <w:t>增城区融入“黄金内湾”高质量发展重大平台、重大基础设施项目前期策划</w:t>
      </w:r>
      <w:r>
        <w:rPr>
          <w:u w:val="single"/>
        </w:rPr>
        <w:t>”</w:t>
      </w:r>
      <w:r>
        <w:rPr/>
        <w:t>项目的招标[采购项目编号为：</w:t>
      </w:r>
      <w:r>
        <w:rPr>
          <w:u w:val="single"/>
        </w:rPr>
        <w:t>GZCQC2500FG06013</w:t>
      </w:r>
      <w:r>
        <w:rPr/>
        <w:t>]，我方愿参与投标。</w:t>
      </w:r>
    </w:p>
    <w:p>
      <w:pPr>
        <w:pStyle w:val="null3"/>
        <w:ind w:firstLine="480"/>
      </w:pPr>
      <w:r>
        <w:rPr/>
        <w:t>我方确认收到贵方提供的</w:t>
      </w:r>
      <w:r>
        <w:rPr>
          <w:u w:val="single"/>
        </w:rPr>
        <w:t>“</w:t>
      </w:r>
      <w:r>
        <w:rPr>
          <w:u w:val="single"/>
        </w:rPr>
        <w:t>增城区融入“黄金内湾”高质量发展重大平台、重大基础设施项目前期策划</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增城区融入“黄金内湾”高质量发展重大平台、重大基础设施项目前期策划</w:t>
      </w:r>
      <w:r>
        <w:rPr/>
        <w:t>”项目采购[采购项目编号为</w:t>
      </w:r>
      <w:r>
        <w:rPr/>
        <w:t>GZCQC2500FG06013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广州市规划和自然资源局增城区分局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广州程启招标代理有限公司</w:t>
      </w:r>
    </w:p>
    <w:p>
      <w:pPr>
        <w:pStyle w:val="null3"/>
        <w:ind w:firstLine="480"/>
      </w:pPr>
      <w:r>
        <w:rPr/>
        <w:t xml:space="preserve"> 如果我方在贵采购代理机构组织的</w:t>
      </w:r>
      <w:r>
        <w:rPr/>
        <w:t>增城区融入“黄金内湾”高质量发展重大平台、重大基础设施项目前期策划</w:t>
      </w:r>
      <w:r>
        <w:rPr/>
        <w:t>招标中获中标（采购项目编号：</w:t>
      </w:r>
      <w:r>
        <w:rPr/>
        <w:t>GZCQC2500FG06013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广州程启招标代理有限公司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