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440113-2025-03332</w:t>
      </w:r>
    </w:p>
    <w:p>
      <w:pPr>
        <w:pStyle w:val="null3"/>
        <w:jc w:val="center"/>
        <w:outlineLvl w:val="3"/>
      </w:pPr>
      <w:r>
        <w:rPr>
          <w:sz w:val="24"/>
          <w:b/>
        </w:rPr>
        <w:t>采购项目编号：</w:t>
      </w:r>
      <w:r>
        <w:rPr>
          <w:sz w:val="24"/>
          <w:b/>
        </w:rPr>
        <w:t>GZCQC2501FG040016</w:t>
      </w:r>
    </w:p>
    <w:p>
      <w:pPr>
        <w:pStyle w:val="null3"/>
        <w:jc w:val="center"/>
        <w:outlineLvl w:val="3"/>
      </w:pPr>
      <w:r>
        <w:rPr>
          <w:sz w:val="24"/>
          <w:b/>
        </w:rPr>
        <w:t>项目名称：</w:t>
      </w:r>
      <w:r>
        <w:rPr>
          <w:sz w:val="24"/>
          <w:b/>
        </w:rPr>
        <w:t>广州市公安局番禺区分局1625台移动警务终端通信服务采购项目</w:t>
      </w:r>
    </w:p>
    <w:p>
      <w:pPr>
        <w:pStyle w:val="null3"/>
        <w:jc w:val="center"/>
        <w:outlineLvl w:val="3"/>
      </w:pPr>
      <w:r>
        <w:rPr>
          <w:sz w:val="24"/>
          <w:b/>
        </w:rPr>
        <w:t>采购人：</w:t>
      </w:r>
      <w:r>
        <w:rPr>
          <w:sz w:val="24"/>
          <w:b/>
        </w:rPr>
        <w:t>广州市公安局番禺区分局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广州市公安局番禺区分局</w:t>
      </w:r>
      <w:r>
        <w:rPr/>
        <w:t>的委托，采用</w:t>
      </w:r>
      <w:r>
        <w:rPr/>
        <w:t>公开招标</w:t>
      </w:r>
      <w:r>
        <w:rPr/>
        <w:t>方式组织采购</w:t>
      </w:r>
      <w:r>
        <w:rPr/>
        <w:t>广州市公安局番禺区分局1625台移动警务终端通信服务采购项目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广州市公安局番禺区分局1625台移动警务终端通信服务采购项目</w:t>
      </w:r>
    </w:p>
    <w:p>
      <w:pPr>
        <w:pStyle w:val="null3"/>
        <w:ind w:firstLine="480"/>
      </w:pPr>
      <w:r>
        <w:rPr/>
        <w:t>采购计划编号：</w:t>
      </w:r>
      <w:r>
        <w:rPr/>
        <w:t>440113-2025-03332</w:t>
      </w:r>
    </w:p>
    <w:p>
      <w:pPr>
        <w:pStyle w:val="null3"/>
        <w:ind w:firstLine="480"/>
      </w:pPr>
      <w:r>
        <w:rPr/>
        <w:t>采购项目编号：</w:t>
      </w:r>
      <w:r>
        <w:rPr/>
        <w:t>GZCQC2501FG040016</w:t>
      </w:r>
    </w:p>
    <w:p>
      <w:pPr>
        <w:pStyle w:val="null3"/>
        <w:ind w:firstLine="480"/>
      </w:pPr>
      <w:r>
        <w:rPr/>
        <w:t>采购方式：</w:t>
      </w:r>
      <w:r>
        <w:rPr/>
        <w:t>公开招标</w:t>
      </w:r>
    </w:p>
    <w:p>
      <w:pPr>
        <w:pStyle w:val="null3"/>
        <w:ind w:firstLine="480"/>
      </w:pPr>
      <w:r>
        <w:rPr/>
        <w:t>预算金额：</w:t>
      </w:r>
      <w:r>
        <w:rPr/>
        <w:t>1,795,300.00</w:t>
      </w:r>
      <w:r>
        <w:rPr/>
        <w:t>元</w:t>
      </w:r>
    </w:p>
    <w:p>
      <w:pPr>
        <w:pStyle w:val="null3"/>
        <w:outlineLvl w:val="3"/>
      </w:pPr>
      <w:r>
        <w:rPr>
          <w:sz w:val="24"/>
          <w:b/>
        </w:rPr>
        <w:t>2.项目内容及需求情况（采购项目技术规格、参数及要求）</w:t>
      </w:r>
    </w:p>
    <w:p>
      <w:pPr>
        <w:pStyle w:val="null3"/>
      </w:pPr>
      <w:r>
        <w:rPr/>
        <w:t>采购包1(广州市公安局番禺区分局1625台移动警务终端通信服务采购项目):</w:t>
      </w:r>
    </w:p>
    <w:p>
      <w:pPr>
        <w:pStyle w:val="null3"/>
      </w:pPr>
      <w:r>
        <w:rPr/>
        <w:t>采购包预算金额：1,795,300.00元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基础电信服务</w:t>
            </w:r>
          </w:p>
        </w:tc>
        <w:tc>
          <w:tcPr>
            <w:tcW w:type="dxa" w:w="2052"/>
          </w:tcPr>
          <w:p>
            <w:pPr>
              <w:pStyle w:val="null3"/>
            </w:pPr>
            <w:r>
              <w:rPr/>
              <w:t>广州市公安局番禺区分局1625台移动警务终端通信服务采购项目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1,795,300.00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服务期起算之日起12个月（中标人要求在2025年7月1日前完成警务应用语音流量套餐、MDM等所有服务内容。确保语音流量套餐和MDM的无缝过渡及正常运行。完成上述内容后，由采购人组织验收，验收合格之次日起开始计算服务期和租金。）</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采购包1（广州市公安局番禺区分局1625台移动警务终端通信服务采购项目）：</w:t>
      </w:r>
      <w:r>
        <w:rPr/>
        <w:t>根据《政府采购促进中小企业发展管理办法》的规定，本项目属于“按照本办法规定预留采购份额无法确保充分供应、充分竞争，或者存在可能影响政府采购目标实现的情形”，本项目不属于专门面向中小企业采购的项目。 本项目所属行业为“信息传输业”，请按该行业划分标准进行中小企业声明。</w:t>
      </w:r>
    </w:p>
    <w:p>
      <w:pPr>
        <w:pStyle w:val="null3"/>
        <w:outlineLvl w:val="3"/>
      </w:pPr>
      <w:r>
        <w:rPr>
          <w:sz w:val="24"/>
          <w:b/>
        </w:rPr>
        <w:t>3.本项目特定的资格要求：</w:t>
      </w:r>
    </w:p>
    <w:p>
      <w:pPr>
        <w:pStyle w:val="null3"/>
      </w:pPr>
      <w:r>
        <w:rPr/>
        <w:t>采购包1（广州市公安局番禺区分局1625台移动警务终端通信服务采购项目）：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广州市公安局番禺区分局</w:t>
      </w:r>
    </w:p>
    <w:p>
      <w:pPr>
        <w:pStyle w:val="null3"/>
        <w:ind w:firstLine="480"/>
      </w:pPr>
      <w:r>
        <w:rPr/>
        <w:t xml:space="preserve"> 地址：</w:t>
      </w:r>
      <w:r>
        <w:rPr/>
        <w:t>广州市番禺区市桥禺山大道15号</w:t>
      </w:r>
    </w:p>
    <w:p>
      <w:pPr>
        <w:pStyle w:val="null3"/>
        <w:ind w:firstLine="480"/>
      </w:pPr>
      <w:r>
        <w:rPr/>
        <w:t xml:space="preserve"> 联系方式：</w:t>
      </w:r>
      <w:r>
        <w:rPr/>
        <w:t>020-84822701</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（一）项目背景</w:t>
      </w:r>
    </w:p>
    <w:p>
      <w:pPr>
        <w:pStyle w:val="null3"/>
        <w:ind w:firstLine="420"/>
        <w:jc w:val="both"/>
      </w:pPr>
      <w:r>
        <w:rPr>
          <w:sz w:val="24"/>
        </w:rPr>
        <w:t>广州市公安局番禺区分局移动警务通信服务采购项目（1625套），将在2025年6月30日到期。</w:t>
      </w:r>
    </w:p>
    <w:p>
      <w:pPr>
        <w:pStyle w:val="null3"/>
        <w:ind w:firstLine="420"/>
        <w:jc w:val="both"/>
      </w:pPr>
      <w:r>
        <w:rPr>
          <w:sz w:val="24"/>
        </w:rPr>
        <w:t>按照全省智慧新警务的整体部署，为保证广州市公安局番禺区分局移动警务系统日常使用，现计划开展移动警务通信服务运维采购项目，对1625套MDM的运维服务进行采购，并采购1625套移动警务通信套餐。预算总额179.53万元。</w:t>
      </w:r>
    </w:p>
    <w:p>
      <w:pPr>
        <w:pStyle w:val="null3"/>
        <w:ind w:firstLine="420"/>
        <w:jc w:val="both"/>
      </w:pPr>
      <w:r>
        <w:rPr>
          <w:sz w:val="24"/>
          <w:b/>
        </w:rPr>
        <w:t>（二）项目主要工作与内容</w:t>
      </w:r>
    </w:p>
    <w:p>
      <w:pPr>
        <w:pStyle w:val="null3"/>
        <w:ind w:firstLine="422"/>
        <w:jc w:val="both"/>
      </w:pPr>
      <w:r>
        <w:rPr>
          <w:sz w:val="24"/>
        </w:rPr>
        <w:t>1.本项目通过公开招标的方式确认一家供应商，并在服务期限内按要求提供以下服务：</w:t>
      </w:r>
    </w:p>
    <w:tbl>
      <w:tblPr>
        <w:tblW w:w="0" w:type="auto"/>
        <w:tblBorders>
          <w:top w:val="single"/>
          <w:left w:val="single"/>
          <w:bottom w:val="single"/>
          <w:right w:val="single"/>
          <w:insideH w:val="single"/>
          <w:insideV w:val="single"/>
        </w:tblBorders>
      </w:tblPr>
      <w:tblGrid>
        <w:gridCol w:w="593"/>
        <w:gridCol w:w="1780"/>
        <w:gridCol w:w="763"/>
        <w:gridCol w:w="2712"/>
        <w:gridCol w:w="2458"/>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内容</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27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c>
          <w:tcPr>
            <w:tcW w:type="dxa" w:w="24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服务期限</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移动警务通信套餐</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725套</w:t>
            </w:r>
          </w:p>
        </w:tc>
        <w:tc>
          <w:tcPr>
            <w:tcW w:type="dxa" w:w="2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提供725套移动警务通信套餐</w:t>
            </w:r>
          </w:p>
        </w:tc>
        <w:tc>
          <w:tcPr>
            <w:tcW w:type="dxa" w:w="24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sz w:val="24"/>
              </w:rPr>
              <w:t>自服务期起算之日起12个月（中标人要求在2025年7月1日前完成警务应用语音流量套餐、MDM等所有服务内容。确保语音流量套餐和MDM的无缝过渡及正常运行。完成上述内容后，由采购人组织验收，验收合格之次日起开始计算服务期和租金。）</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终端管控软件（MDM）服务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725套</w:t>
            </w:r>
          </w:p>
        </w:tc>
        <w:tc>
          <w:tcPr>
            <w:tcW w:type="dxa" w:w="2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提供移动警务终端管理软件及部署承载后台管控平台的相关服务器硬件、网络环境及系统软件环境</w:t>
            </w:r>
          </w:p>
        </w:tc>
        <w:tc>
          <w:tcPr>
            <w:tcW w:type="dxa" w:w="2458"/>
            <w:vMerge/>
            <w:tcBorders>
              <w:top w:val="none" w:color="000000" w:sz="4"/>
              <w:left w:val="none" w:color="000000" w:sz="4"/>
              <w:bottom w:val="single" w:color="000000" w:sz="4"/>
              <w:right w:val="single" w:color="000000" w:sz="4"/>
            </w:tcBorders>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移动警务通信套餐</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900套</w:t>
            </w:r>
          </w:p>
        </w:tc>
        <w:tc>
          <w:tcPr>
            <w:tcW w:type="dxa" w:w="2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提供900套移动警务通信套餐</w:t>
            </w:r>
          </w:p>
        </w:tc>
        <w:tc>
          <w:tcPr>
            <w:tcW w:type="dxa" w:w="2458"/>
            <w:vMerge/>
            <w:tcBorders>
              <w:top w:val="none" w:color="000000" w:sz="4"/>
              <w:left w:val="none" w:color="000000" w:sz="4"/>
              <w:bottom w:val="single" w:color="000000" w:sz="4"/>
              <w:right w:val="single" w:color="000000" w:sz="4"/>
            </w:tcBorders>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安全智能贴膜卡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900套</w:t>
            </w:r>
          </w:p>
        </w:tc>
        <w:tc>
          <w:tcPr>
            <w:tcW w:type="dxa" w:w="271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提供安全智能贴膜卡授权、移动警务终端管理软件及部署承载后台管控平台的相关服务器硬件、网络环境及系统软件环境</w:t>
            </w:r>
          </w:p>
        </w:tc>
        <w:tc>
          <w:tcPr>
            <w:tcW w:type="dxa" w:w="2458"/>
            <w:vMerge/>
            <w:tcBorders>
              <w:top w:val="none" w:color="000000" w:sz="4"/>
              <w:left w:val="none" w:color="000000" w:sz="4"/>
              <w:bottom w:val="single" w:color="000000" w:sz="4"/>
              <w:right w:val="single" w:color="000000" w:sz="4"/>
            </w:tcBorders>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终端管控软件（MDM）服务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900套</w:t>
            </w:r>
          </w:p>
        </w:tc>
        <w:tc>
          <w:tcPr>
            <w:tcW w:type="dxa" w:w="2712"/>
            <w:vMerge/>
            <w:tcBorders>
              <w:top w:val="none" w:color="000000" w:sz="4"/>
              <w:left w:val="none" w:color="000000" w:sz="4"/>
              <w:bottom w:val="single" w:color="000000" w:sz="4"/>
              <w:right w:val="single" w:color="000000" w:sz="4"/>
            </w:tcBorders>
          </w:tcPr>
          <w:p/>
        </w:tc>
        <w:tc>
          <w:tcPr>
            <w:tcW w:type="dxa" w:w="2458"/>
            <w:vMerge/>
            <w:tcBorders>
              <w:top w:val="none" w:color="000000" w:sz="4"/>
              <w:left w:val="none" w:color="000000" w:sz="4"/>
              <w:bottom w:val="single" w:color="000000" w:sz="4"/>
              <w:right w:val="single" w:color="000000" w:sz="4"/>
            </w:tcBorders>
          </w:tcPr>
          <w:p/>
        </w:tc>
      </w:tr>
    </w:tbl>
    <w:p>
      <w:pPr>
        <w:pStyle w:val="null3"/>
      </w:pPr>
      <w:r>
        <w:rPr/>
        <w:t>采购包1（广州市公安局番禺区分局1625台移动警务终端通信服务采购项目）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服务期起算之日起12个月（中标人要求在2025年7月1日前完成警务应用语音流量套餐、MDM等所有服务内容。确保语音流量套餐和MDM的无缝过渡及正常运行。完成上述内容后，由采购人组织验收，验收合格之次日起开始计算服务期和租金。）</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第1期为(预付款)：支付比例30%，双方签订合同后，采购人在收到发票后5个工作日内向中标人支付合同总金额的30%。</w:t>
            </w:r>
          </w:p>
          <w:p>
            <w:pPr>
              <w:pStyle w:val="null3"/>
            </w:pPr>
            <w:r>
              <w:rPr/>
              <w:t>第2期为(进度款)：支付比例20%，在服务期满3个月之日起，采购人在收到发票后5个工作日内向中标人支付合同总金额的20%。</w:t>
            </w:r>
          </w:p>
          <w:p>
            <w:pPr>
              <w:pStyle w:val="null3"/>
            </w:pPr>
            <w:r>
              <w:rPr/>
              <w:t>第3期为(进度款)：支付比例25%，在服务期满6个月之日起，采购人在收到发票后5个工作日内向中标人支付合同总金额的25%。</w:t>
            </w:r>
          </w:p>
          <w:p>
            <w:pPr>
              <w:pStyle w:val="null3"/>
            </w:pPr>
            <w:r>
              <w:rPr/>
              <w:t>第4期为(尾款)：支付比例25%，在服务期满9个月之日起，采购人在收到发票后5个工作日内向中标人支付合同总金额的25%。 备注： 1、本期项目付款方式分为四笔支付。 2、中标人须在采购人办理付款手续之前 5个工作日内，提供等额的正式发票给采购人，以便采购人及时办理付款手续。 3、在项目服务期内，如遇项目需求调整，则按总金额折算回月租，按实际服务发生月份进行结算，最终结算金额不超合同总金额。 4、因财政资金拨款不到位而导致采购人逾期付款的，采购人不承担违约责任。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1期：1．履约验收主体：采购人。 2．履约验收时间：合同签订后中标人需在2025年7月1日前完成警务应用语音流量套餐、MDM等所有服务内容。确保语音流量套餐和MDM的无缝过渡及正常运行。完成上述内容后，采购人在收到中标人的验收申请资料后7日内（具体以采购人确认为准）由采购人组织验收，验收合格之次日起开始起计算服务期和租金。 3．履约验收方式：由采购人和中标人共同进行。 4．履约验收要求：中标人完成服务提供结束，在服务数量、规格、质量及各项功能应用满足合同要求后，由中标人、采购人双方共同签字验收。因服务质量问题发生争议时，由本地质量技术监督部门鉴定。服务符合质量技术标准的，鉴定费由采购人承担；否则鉴定费由中标人承担。 5．履约验收内容及标准：满足采购需求的要求、投标文件中的相关承诺及合同约定的内容。中标人若因非不可抗力因素无法按时提供服务，以逾期提供服务部分款项总额日利率5‰的标准向甲方交纳违约金，累计不超过逾期提供服务部分款项总额的5%。逾期提供服务超过30日历日，采购人有权终止合同，中标人退回已收取的合同款项，并交纳合同总价10% 的违约金。 若中标人提供的产品发生知识产权纠纷的，由中标人与原知识产权所有者协商解决，采购人不承担与之相关的任何经济和法律责任。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一、最高限价及报价要求，1.本项目最高限价1,795,300.00元。 2.报价要求： ★本项目总价报价，凡超过最高限价的效投标，一律视为无效投标。</w:t>
            </w:r>
          </w:p>
          <w:p>
            <w:pPr>
              <w:pStyle w:val="null3"/>
            </w:pPr>
            <w:r>
              <w:rPr/>
              <w:t>二、对中标人要求，1.要求中标人必须具有良好信誉和相关实力的技术队伍。其中： （1）项目经理（1人）要求满足以下条件：①高级工程师职称；②软考信息系统项目管理师证书；③软考网络工程师证书。 （2）技术总负责人（1人）要求满足以下条件：①软考网络工程师证书；②具有通信专业技术人员资格证书。 （3）通信技术负责人（1人）要求满足以下条件：①具有软考信息安全工程师证书；②通信专业技术人员资格证书。 （4）其他项目团队人员（不少于5人）要求满足以下条件：具有软考网络规划设计师证书、通信专业技术人员职业资格证书、具有软考网络工程师证书等。 2.中标人应本着认真负责态度，组织技术队伍，做好整体方案，对项目的整体技术服务提出整体方案：内容应包括①对采购需求的理解程度；②工作进度计划；③质量保障措施方案；提供项目运维服务方案方案：内容应包括：①售后技术支持保障方案；②维修服务；③日常检测机制；④专人专职售后沟通机制；⑤故障响应机制；提供技术培训方案：内容应包括：①培训内容及保障措施；②培训计划安排，提供的方案。 3. 投标人2022年1月1日至今承接过同类项目业绩，同时具备客户对货物质量和服务质量的好评或类似满意的评价。 4.投标人需具备较为完善的质量管理、环境管理、职工职业健康的管理等制度为本项目的质量和履约提供制度保障，以保证项目质量和服务目标，并通过质量管理体系、环境管理体系、职业健康安全管理体系等认证。</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基础电信服务</w:t>
            </w:r>
          </w:p>
        </w:tc>
        <w:tc>
          <w:tcPr>
            <w:tcW w:type="dxa" w:w="933"/>
          </w:tcPr>
          <w:p>
            <w:pPr>
              <w:pStyle w:val="null3"/>
              <w:jc w:val="left"/>
            </w:pPr>
            <w:r>
              <w:rPr/>
              <w:t>广州市公安局番禺区分局1625台移动警务终端通信服务采购项目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1,795,300.00</w:t>
            </w:r>
          </w:p>
        </w:tc>
        <w:tc>
          <w:tcPr>
            <w:tcW w:type="dxa" w:w="933"/>
          </w:tcPr>
          <w:p>
            <w:pPr>
              <w:pStyle w:val="null3"/>
              <w:jc w:val="right"/>
            </w:pPr>
            <w:r>
              <w:rPr/>
              <w:t>1,795,300.00</w:t>
            </w:r>
          </w:p>
        </w:tc>
        <w:tc>
          <w:tcPr>
            <w:tcW w:type="dxa" w:w="840"/>
          </w:tcPr>
          <w:p>
            <w:pPr>
              <w:pStyle w:val="null3"/>
            </w:pPr>
            <w:r>
              <w:rPr/>
              <w:t>信息传输业</w:t>
            </w:r>
          </w:p>
        </w:tc>
        <w:tc>
          <w:tcPr>
            <w:tcW w:type="dxa" w:w="933"/>
          </w:tcPr>
          <w:p>
            <w:pPr>
              <w:pStyle w:val="null3"/>
            </w:pPr>
            <w:r>
              <w:rPr/>
              <w:t>详见附表一</w:t>
            </w:r>
          </w:p>
        </w:tc>
      </w:tr>
    </w:tbl>
    <w:p>
      <w:pPr>
        <w:pStyle w:val="null3"/>
      </w:pPr>
      <w:r>
        <w:rPr>
          <w:b/>
        </w:rPr>
        <w:t>附表</w:t>
      </w:r>
      <w:r>
        <w:rPr>
          <w:b/>
        </w:rPr>
        <w:t>一</w:t>
      </w:r>
      <w:r>
        <w:rPr>
          <w:b/>
        </w:rPr>
        <w:t>：</w:t>
      </w:r>
      <w:r>
        <w:rPr>
          <w:b/>
        </w:rPr>
        <w:t>广州市公安局番禺区分局1625台移动警务终端通信服务采购项目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一、项目具体要求</w:t>
            </w:r>
          </w:p>
          <w:p>
            <w:pPr>
              <w:pStyle w:val="null3"/>
              <w:ind w:firstLine="422"/>
            </w:pPr>
            <w:r>
              <w:rPr>
                <w:sz w:val="24"/>
                <w:b/>
              </w:rPr>
              <w:t>1、移动警务通信套餐要求</w:t>
            </w:r>
          </w:p>
          <w:p>
            <w:pPr>
              <w:pStyle w:val="null3"/>
              <w:ind w:firstLine="420"/>
              <w:jc w:val="both"/>
            </w:pPr>
            <w:r>
              <w:rPr>
                <w:sz w:val="24"/>
              </w:rPr>
              <w:t>中标人需提供1625套移动警务通信套餐。</w:t>
            </w:r>
          </w:p>
          <w:p>
            <w:pPr>
              <w:pStyle w:val="null3"/>
              <w:ind w:firstLine="420"/>
              <w:jc w:val="both"/>
            </w:pPr>
            <w:r>
              <w:rPr>
                <w:sz w:val="24"/>
              </w:rPr>
              <w:t>1）725套移动警务套餐包括：每月不少于800分钟国内通话，全国接听免费；每月不少于10G全国互联网上网流量；每月不少于30G公安专网上网流量。</w:t>
            </w:r>
          </w:p>
          <w:p>
            <w:pPr>
              <w:pStyle w:val="null3"/>
              <w:ind w:firstLine="420"/>
              <w:jc w:val="both"/>
            </w:pPr>
            <w:r>
              <w:rPr>
                <w:sz w:val="24"/>
              </w:rPr>
              <w:t>2）900套移动警务套餐包括：每月不少于800分钟国内通话，全国接听免费；每月不少于30G全国互联网上网流量；每月不少于30G公安专网上网流量。900套移动终端VPMN集群网互打免费。</w:t>
            </w:r>
          </w:p>
          <w:p>
            <w:pPr>
              <w:pStyle w:val="null3"/>
              <w:ind w:firstLine="420"/>
              <w:jc w:val="both"/>
            </w:pPr>
            <w:r>
              <w:rPr>
                <w:sz w:val="24"/>
              </w:rPr>
              <w:t>★3）1625套套餐要求保留现有在用号码，如需携号转网，由中标人负责办理相关手续，并承诺转网期间网络通信服务无缝过渡，携号转网所产生的费用已包含在项目预算中，采购人不再另行支付费用。（</w:t>
            </w:r>
            <w:r>
              <w:rPr>
                <w:sz w:val="24"/>
                <w:b/>
              </w:rPr>
              <w:t>投标人须提供承诺函，格式自拟）</w:t>
            </w:r>
          </w:p>
          <w:p>
            <w:pPr>
              <w:pStyle w:val="null3"/>
              <w:ind w:firstLine="420"/>
              <w:jc w:val="both"/>
            </w:pPr>
            <w:r>
              <w:rPr>
                <w:sz w:val="24"/>
                <w:b/>
              </w:rPr>
              <w:t>2、移动警务通信网络要求</w:t>
            </w:r>
          </w:p>
          <w:p>
            <w:pPr>
              <w:pStyle w:val="null3"/>
              <w:ind w:firstLine="420"/>
              <w:jc w:val="both"/>
            </w:pPr>
            <w:r>
              <w:rPr>
                <w:sz w:val="24"/>
              </w:rPr>
              <w:t>移动警务终端在进行数据传输时，利用移动互联技术接入5G/4G无线网络中的服务提供节点。在满足基于互联网数据传输的基础上，还需根据采购人要求，在采购人不另外支付费用的前提下随时实现：该节点保障只有合法授权的专网用户才能通过移动网络接入番禺区公安内网，同时保证在合法授权的专网用户和番禺区公安内网内部服务器间传送的数据包不被黑客从公网非法截取，要求通过安全通道接入网络运营商路由器。</w:t>
            </w:r>
          </w:p>
          <w:p>
            <w:pPr>
              <w:pStyle w:val="null3"/>
              <w:ind w:left="420"/>
              <w:jc w:val="both"/>
            </w:pPr>
            <w:r>
              <w:rPr>
                <w:sz w:val="24"/>
              </w:rPr>
              <w:t>（1）网络总体要求</w:t>
            </w:r>
          </w:p>
          <w:p>
            <w:pPr>
              <w:pStyle w:val="null3"/>
              <w:ind w:firstLine="420"/>
              <w:jc w:val="both"/>
            </w:pPr>
            <w:r>
              <w:rPr>
                <w:sz w:val="24"/>
              </w:rPr>
              <w:t>全网络采用4G无线技术，使移动终端从接入点到番禺区公安内网接入设备之间使用4G网络，数据在4G网络中传输，即为移动终端提供基于4G的专网接入服务。</w:t>
            </w:r>
          </w:p>
          <w:p>
            <w:pPr>
              <w:pStyle w:val="null3"/>
              <w:ind w:firstLine="420"/>
              <w:jc w:val="both"/>
            </w:pPr>
            <w:r>
              <w:rPr>
                <w:sz w:val="24"/>
              </w:rPr>
              <w:t>投标人在番禺区辖内所提供的5G/4G网络服务需满足采购人移动警务办公需求，登录访问广州市公安局警务综合管理应用平台服务器的响应时间不高于300ms，平均下行速度不低于1000KBps，平均上行速度不低于500KBps。</w:t>
            </w:r>
          </w:p>
          <w:p>
            <w:pPr>
              <w:pStyle w:val="null3"/>
              <w:ind w:left="420"/>
              <w:jc w:val="both"/>
            </w:pPr>
            <w:r>
              <w:rPr>
                <w:sz w:val="24"/>
              </w:rPr>
              <w:t>（2）网络优化及应急备份网络需求</w:t>
            </w:r>
          </w:p>
          <w:p>
            <w:pPr>
              <w:pStyle w:val="null3"/>
              <w:ind w:firstLine="420"/>
              <w:jc w:val="both"/>
            </w:pPr>
            <w:r>
              <w:rPr>
                <w:sz w:val="24"/>
              </w:rPr>
              <w:t>在无5G/4G信号区域可自动切换至3G或2G网络使用，在网络信号不佳的使用环境，中标人应承诺提供网络优化的服务；对采购人在番禺区的办公场所，以及各派出单位，临时检查站等单位，网络信号不佳的，应承诺完成包含现场施工手段在内的信号加强与网络优化服务。</w:t>
            </w:r>
          </w:p>
          <w:p>
            <w:pPr>
              <w:pStyle w:val="null3"/>
              <w:ind w:left="420"/>
              <w:jc w:val="both"/>
            </w:pPr>
            <w:r>
              <w:rPr>
                <w:sz w:val="24"/>
              </w:rPr>
              <w:t>（3）无线网安全性需求</w:t>
            </w:r>
          </w:p>
          <w:p>
            <w:pPr>
              <w:pStyle w:val="null3"/>
              <w:ind w:firstLine="420"/>
              <w:jc w:val="both"/>
            </w:pPr>
            <w:r>
              <w:rPr>
                <w:sz w:val="24"/>
              </w:rPr>
              <w:t>由中标人负责相关的网络安全解决方案，应承诺确保网络安全，符合国家相关网络安全管理法规要求；使用5G/4G无线宽带的公众用户不会对番禺区公安内网的用户和业务系统进行干扰。</w:t>
            </w:r>
          </w:p>
          <w:p>
            <w:pPr>
              <w:pStyle w:val="null3"/>
              <w:ind w:left="420"/>
              <w:jc w:val="both"/>
            </w:pPr>
            <w:r>
              <w:rPr>
                <w:sz w:val="24"/>
              </w:rPr>
              <w:t>（4）无线专网数据配置服务</w:t>
            </w:r>
          </w:p>
          <w:p>
            <w:pPr>
              <w:pStyle w:val="null3"/>
              <w:ind w:firstLine="420"/>
              <w:jc w:val="both"/>
            </w:pPr>
            <w:r>
              <w:rPr>
                <w:sz w:val="24"/>
              </w:rPr>
              <w:t>提供无线专网数据配置服务，确保各移动终端使用基于5G/4G高速分组数据网络，利用隧道技术构建与公众互联网隔离的虚拟专用网络。各移动终端通过无线专用网络安全地访问番禺区公安警务管理应用系统。通过编码技术、网络层的加密以及采用口令保护、身份验证、权限设置等措施，保证数据的完整性、避免被非法窃取区公安警务管理服务系统数据。</w:t>
            </w:r>
          </w:p>
          <w:p>
            <w:pPr>
              <w:pStyle w:val="null3"/>
              <w:ind w:firstLine="420"/>
              <w:jc w:val="both"/>
            </w:pPr>
            <w:r>
              <w:rPr>
                <w:sz w:val="24"/>
              </w:rPr>
              <w:t>（5）本项目移动警务终端所提供的网络资源覆盖，无线通信网络频宽总和≥300MHz。</w:t>
            </w:r>
          </w:p>
          <w:p>
            <w:pPr>
              <w:pStyle w:val="null3"/>
              <w:ind w:firstLine="422"/>
            </w:pPr>
            <w:r>
              <w:rPr>
                <w:sz w:val="24"/>
                <w:b/>
              </w:rPr>
              <w:t>3、终端管控软件（MDM）服务要求</w:t>
            </w:r>
          </w:p>
          <w:p>
            <w:pPr>
              <w:pStyle w:val="null3"/>
              <w:ind w:firstLine="420"/>
              <w:jc w:val="both"/>
            </w:pPr>
            <w:r>
              <w:rPr>
                <w:sz w:val="24"/>
              </w:rPr>
              <w:t>定制1625套移动警务终端管理软件及部署承载后台管控平台的相关服务器硬件、网络环境及系统软件环境。</w:t>
            </w:r>
          </w:p>
          <w:p>
            <w:pPr>
              <w:pStyle w:val="null3"/>
              <w:ind w:firstLine="420"/>
              <w:jc w:val="both"/>
            </w:pPr>
            <w:r>
              <w:rPr>
                <w:sz w:val="24"/>
              </w:rPr>
              <w:t>满足不少于1625台移动警务终端集中管理的后台管控平台，后台管控平台能支持对终端双系统并行管控。</w:t>
            </w:r>
          </w:p>
          <w:tbl>
            <w:tblGrid>
              <w:gridCol w:w="346"/>
              <w:gridCol w:w="462"/>
              <w:gridCol w:w="519"/>
              <w:gridCol w:w="1097"/>
              <w:gridCol w:w="3174"/>
            </w:tblGrid>
            <w:tr>
              <w:tc>
                <w:tcPr>
                  <w:tcW w:type="dxa" w:w="346"/>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4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功能模块</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功能列表</w:t>
                  </w:r>
                </w:p>
              </w:tc>
              <w:tc>
                <w:tcPr>
                  <w:tcW w:type="dxa" w:w="10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功能细则</w:t>
                  </w:r>
                </w:p>
              </w:tc>
              <w:tc>
                <w:tcPr>
                  <w:tcW w:type="dxa" w:w="31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功能描述</w:t>
                  </w:r>
                </w:p>
              </w:tc>
            </w:tr>
            <w:tr>
              <w:tc>
                <w:tcPr>
                  <w:tcW w:type="dxa" w:w="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人员组织管理</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组织管理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人员组织结构创建、修改、删除、查询功能</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可以根据用户的组织结构进行手工或者导入方式创建无限层级的组织结构数据，并提供修改、删除、查询功能</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人员管理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人员上传</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可以手工或者批量导入人员姓名、部门等信息</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人员维护</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人员的增、改、查、批量导入，绑定人员和IMSI信息</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基于警综的人员架构进行部署，如果人员调动了，自动推送人员当前部门相关管理策略和应用，并删除之前部门应用</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分组管理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对人员进行分组</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除可根据组织机构的方式进行管理外，平台还可为根据管理要求对跨组织部门的人员创建分组，并可以对分组分配所有管理策略。</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权限管理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为组织或者分组创建管理员</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可以为任意一级组织或者分组设定管理员</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管理员权限设置</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可以为上述任一管理员进行管理权限分配</w:t>
                  </w:r>
                </w:p>
              </w:tc>
            </w:tr>
            <w:tr>
              <w:tc>
                <w:tcPr>
                  <w:tcW w:type="dxa" w:w="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安装管理</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注册管理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预注册</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可在后台通过批量导入用户信息和终端IMEI、SIM卡IMSI等信息</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自注册</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终端使用者自行通过输入服务器地址、用户名（警员信息等）进行注册并且激活</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管控安装</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预安装</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支持将管控软件内置于终端系统内</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自安装</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可输入网址进行下载与安装管控软件</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激活管理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终端激活</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设备安装客户端并插入SIM卡，通过扫描注册二维码即可完成注册激活</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初始化策略执行生效</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终端激活后自动生效用户归属的部门或者分组的管理策略，并自动安装被分配必须安装的软件</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网络可用</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安全客户端兼容与保活</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支持安全客户端进程保活，同时确保管控系统开启情况下不影响网络的通畅性</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禁止网络热点共享</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禁止通过USB网络分享、蓝牙网络分享以及热点分享功能</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升级管理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需支持平滑安装管控软件</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预安装、自安装、激活及升级管控软件时，需保证数据不丢失，且升级后应用可正常使用</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配合进行管控系统安装</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确保每台移动设备可正常安装并激活使用，且不得影响其他应用的正常使用</w:t>
                  </w:r>
                </w:p>
              </w:tc>
            </w:tr>
            <w:tr>
              <w:tc>
                <w:tcPr>
                  <w:tcW w:type="dxa" w:w="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设备管理</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外设端口管控</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WiFi与移动数据连接</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WiFi 与移动数据连接的功能远程开启/禁用</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飞行模式管理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管理平台可以远程设置飞行模式的开启/关闭</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NFC连接管理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管理平台可以远程设置NFC功能的开启/关闭</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蓝牙连接管理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管理平台可以远程设置蓝牙的开启/关闭</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USB、文件管理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USB、文件管理功能开启/禁用</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开发者调试模式管理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管理平台可以下发指令禁止/开启开发者调试模式</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机卡绑定锁机策略管理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SIM卡与绑定手机分开时锁机功能可设置开启/关闭</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摄像头、麦克风</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摄像头、麦克风功能开启/禁用</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截屏、录屏功能</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截图、录屏功能可开启或禁止</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设备管控</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禁止修改终端时间</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禁止用户手工修改终端的系统时间</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时间同步机制</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终端以后台服务器时间为基准，自动同步较正终端时间</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端到端管理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管理员可以通过手机对自己管理权限范围内的终端设备进行管理，包括锁定设备、寻找设备、盘点设备、设定设备可用等功能</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远程协助</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管理员通过管控平台对终端发起远程协助，终端接受许可后，管理员在管控PC上可以远程接管该终端安全工作系统的界面</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蓝牙配对白名单</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白名单内的蓝牙设备，终端允许连接，白名单外的蓝牙设备，终端禁止连接</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文件管理</w:t>
                  </w:r>
                </w:p>
              </w:tc>
              <w:tc>
                <w:tcPr>
                  <w:tcW w:type="dxa" w:w="10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终端文件管理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支持单个或批量下发文档、图片、音频或视频等格式的文件</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none" w:color="000000" w:sz="4"/>
                    <w:right w:val="single" w:color="000000" w:sz="4"/>
                  </w:tcBorders>
                </w:tcPr>
                <w:p/>
              </w:tc>
              <w:tc>
                <w:tcPr>
                  <w:tcW w:type="dxa" w:w="1097"/>
                  <w:vMerge/>
                  <w:tcBorders>
                    <w:top w:val="none" w:color="000000" w:sz="4"/>
                    <w:left w:val="non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支持单个或批量删除文档、图片、音频或视频等格式的文件</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丢失管理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定位及轨迹管理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系统可强制开启用户端GPS或者北斗定位功能，可获得基站定位，可以实时精准定位终端位置，并对轨迹进行记录，管理员通过管理平台可以查看轨迹信息，轨迹信息默认保存一周，可配置。</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singl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远程锁机</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通过管理平台可以远程下发指令对终端进行锁机</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singl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终端丢失</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终端发生丢失时支持擦除终端数据、格式化内置与外置存储</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singl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手机注销</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支持注销手机管理，注销后手机结束管理状态，清空管理指令</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singl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终端解绑</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支持解绑替换用户、替换安全卡、替换SIM卡等</w:t>
                  </w:r>
                </w:p>
              </w:tc>
            </w:tr>
            <w:tr>
              <w:tc>
                <w:tcPr>
                  <w:tcW w:type="dxa" w:w="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应用管理</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应用管理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应用白名单</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平台支持应用白名单，支持增、删、改、查、导入操作，客户端仅允许白名单中的应用可以下载安装并使用，禁止手机使用白名单外的应用</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应用红名单</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平台支持应用红名单，支持增、删、改、查、导入操作，对终端上未安装的红名单应用进行自动下载及后台静默安装</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应用安装</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平台支持对移动终端下发策略实现应用自动下载、并静默/强制安装</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应用安装功能限制</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当限制安装功能时，手机上所有的软件安装包均无法执行安装</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应用卸载</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手动卸载：用户可手动卸载不需要使用的应用；静默卸载：管理员可以通过管理平台下发策略，远程静默卸载终端上指定的应用</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应用卸载功能限制</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当限制卸载功能时，所安装的指定应用均无法卸载</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应用更新</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终端定时检测新应用发布信息，提醒用户新版本软件更新信息，并可自动下载、并静默/强制更新</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应用商店后台功能</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应用上传</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应用上传可以指定管理员实施，上传时需提供时应用相关信息，包括应用版本信息、应用名称、应用类型、应用介绍、应用图片信息。</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应用取消分配</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管理员取消应用分配后，终端上的应用商店中该应用不再展现</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应用分类</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对上传的介质进行分类，方便查找和管理，可根据需求自由分类</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禁用/允许系统自带应用商店</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禁止/允许使用系统自带应用商店</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应用商店前端功能</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应用商店基本功能</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支持在设备上的应用商店客户端获取允许该设备/用户可安装列表；支持按名称查询；支持查看具体应用介绍</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软件下载功能</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保证客户端连接合法情况下，支持应用安装包断点续传。在下载失败后需要应提示用户重新下载</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应用商城防卸载</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产品支持客户端卸载保护机制，用户在界面上无法卸载客户端，管理员卸载客户端应用程序需要通过输入卸载密码或通过管理中心指令卸载。</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应用下载失败恢复处理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系统支持当客户端应用下载失败后通过断点续传继续下载，直到下载完成</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更新通知方式</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支持开启/关闭通过应用商店管理端对移动设备进行更新通知</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通知信息下发</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支持后台对单台、批量终端下发提示信息或文本通知</w:t>
                  </w:r>
                </w:p>
              </w:tc>
            </w:tr>
            <w:tr>
              <w:tc>
                <w:tcPr>
                  <w:tcW w:type="dxa" w:w="346"/>
                  <w:vMerge w:val="restart"/>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462"/>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安全管理</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设备安全</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全设备擦除</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通过管理平台下发指令可以远程对终端进行全设备擦除，擦除后的终端恢复为出厂设置状态</w:t>
                  </w:r>
                </w:p>
              </w:tc>
            </w:tr>
            <w:tr>
              <w:tc>
                <w:tcPr>
                  <w:tcW w:type="dxa" w:w="346"/>
                  <w:vMerge/>
                  <w:tcBorders>
                    <w:top w:val="none" w:color="000000" w:sz="4"/>
                    <w:left w:val="single" w:color="000000" w:sz="4"/>
                    <w:bottom w:val="none" w:color="000000" w:sz="4"/>
                    <w:right w:val="single" w:color="000000" w:sz="4"/>
                  </w:tcBorders>
                </w:tcPr>
                <w:p/>
              </w:tc>
              <w:tc>
                <w:tcPr>
                  <w:tcW w:type="dxa" w:w="462"/>
                  <w:vMerge/>
                  <w:tcBorders>
                    <w:top w:val="none" w:color="000000" w:sz="4"/>
                    <w:left w:val="none" w:color="000000" w:sz="4"/>
                    <w:bottom w:val="non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密码远程设置或修改</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通过管理平台可以远程下发指令对终端登陆密码进行设置或修改，终端接受指令后会被更新密码并锁屏要求重新输入密码验证</w:t>
                  </w:r>
                </w:p>
              </w:tc>
            </w:tr>
            <w:tr>
              <w:tc>
                <w:tcPr>
                  <w:tcW w:type="dxa" w:w="346"/>
                  <w:vMerge/>
                  <w:tcBorders>
                    <w:top w:val="none" w:color="000000" w:sz="4"/>
                    <w:left w:val="single" w:color="000000" w:sz="4"/>
                    <w:bottom w:val="none" w:color="000000" w:sz="4"/>
                    <w:right w:val="single" w:color="000000" w:sz="4"/>
                  </w:tcBorders>
                </w:tcPr>
                <w:p/>
              </w:tc>
              <w:tc>
                <w:tcPr>
                  <w:tcW w:type="dxa" w:w="462"/>
                  <w:vMerge/>
                  <w:tcBorders>
                    <w:top w:val="none" w:color="000000" w:sz="4"/>
                    <w:left w:val="none" w:color="000000" w:sz="4"/>
                    <w:bottom w:val="non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清除密码</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通过管理平台可以远程下发指令对终端登陆密码进行清除，终端接受指令后锁屏密码被设置为指定</w:t>
                  </w:r>
                </w:p>
              </w:tc>
            </w:tr>
            <w:tr>
              <w:tc>
                <w:tcPr>
                  <w:tcW w:type="dxa" w:w="346"/>
                  <w:vMerge/>
                  <w:tcBorders>
                    <w:top w:val="none" w:color="000000" w:sz="4"/>
                    <w:left w:val="single" w:color="000000" w:sz="4"/>
                    <w:bottom w:val="none" w:color="000000" w:sz="4"/>
                    <w:right w:val="single" w:color="000000" w:sz="4"/>
                  </w:tcBorders>
                </w:tcPr>
                <w:p/>
              </w:tc>
              <w:tc>
                <w:tcPr>
                  <w:tcW w:type="dxa" w:w="462"/>
                  <w:vMerge/>
                  <w:tcBorders>
                    <w:top w:val="none" w:color="000000" w:sz="4"/>
                    <w:left w:val="none" w:color="000000" w:sz="4"/>
                    <w:bottom w:val="non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离线密码</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客户端和后台使用同一套算法生成动态离线密码，以避免网络无法连接导致设备锁定后无法解锁。</w:t>
                  </w:r>
                </w:p>
              </w:tc>
            </w:tr>
            <w:tr>
              <w:tc>
                <w:tcPr>
                  <w:tcW w:type="dxa" w:w="346"/>
                  <w:vMerge/>
                  <w:tcBorders>
                    <w:top w:val="none" w:color="000000" w:sz="4"/>
                    <w:left w:val="single" w:color="000000" w:sz="4"/>
                    <w:bottom w:val="none" w:color="000000" w:sz="4"/>
                    <w:right w:val="single" w:color="000000" w:sz="4"/>
                  </w:tcBorders>
                </w:tcPr>
                <w:p/>
              </w:tc>
              <w:tc>
                <w:tcPr>
                  <w:tcW w:type="dxa" w:w="462"/>
                  <w:vMerge/>
                  <w:tcBorders>
                    <w:top w:val="none" w:color="000000" w:sz="4"/>
                    <w:left w:val="none" w:color="000000" w:sz="4"/>
                    <w:bottom w:val="non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机卡绑定</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可对某台或批量终端的IMEI、SIM卡和安全智能薄膜卡进行绑定，一旦移动将被锁机</w:t>
                  </w:r>
                </w:p>
              </w:tc>
            </w:tr>
            <w:tr>
              <w:tc>
                <w:tcPr>
                  <w:tcW w:type="dxa" w:w="346"/>
                  <w:vMerge/>
                  <w:tcBorders>
                    <w:top w:val="none" w:color="000000" w:sz="4"/>
                    <w:left w:val="single" w:color="000000" w:sz="4"/>
                    <w:bottom w:val="none" w:color="000000" w:sz="4"/>
                    <w:right w:val="single" w:color="000000" w:sz="4"/>
                  </w:tcBorders>
                </w:tcPr>
                <w:p/>
              </w:tc>
              <w:tc>
                <w:tcPr>
                  <w:tcW w:type="dxa" w:w="462"/>
                  <w:vMerge/>
                  <w:tcBorders>
                    <w:top w:val="none" w:color="000000" w:sz="4"/>
                    <w:left w:val="none" w:color="000000" w:sz="4"/>
                    <w:bottom w:val="non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异常管理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当检测到终端被Root后，终端将进行锁机、擦除等等管理，且管理指令无论是在网或者离线状态下都会生效执行。</w:t>
                  </w:r>
                </w:p>
              </w:tc>
            </w:tr>
            <w:tr>
              <w:tc>
                <w:tcPr>
                  <w:tcW w:type="dxa" w:w="34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4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资产管理</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硬件资产</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终端厂商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后台管控平台可以查看终端的厂商名字</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终端型号</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后台管控平台可以查看终端的型号</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CPU型号</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后台管控平台可以查看终端的CPU型号</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CPU使用率</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后台管控平台可以查看终端的CPU使用率</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运行内存容量</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后台管控平台可以查看终端的运行内存容量</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内部存储容量</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后台管控平台可以查看终端的内部存储容量</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内部存储使用率</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后台管控平台可以查看终端的内部存储使用率</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电池电量信息</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后台管控平台可以查看终端的电池电量信息</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序列号</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后台管控平台可以查看终端的设备序列号IMEI</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软件资产</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软件资产管理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后台管控平台可以查看终端的软件名称、包名、版本号、软件大小、是否系统应用、是否白名单应用、安装时间、上报时间</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操作系统版本</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后台管控平台可以查看终端的操作系统版本号</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状态管理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手机信息查询</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后台管控平台可以查看终端的手机号码、用户名称、所属部门、手机状态、是否在线、是否Root、是否外出、是否失联、最后连接时间等信息</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查看设备上各功能状态</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后台管控平台可以查看终端被后台管理平台禁用/启用的功能及状态</w:t>
                  </w:r>
                </w:p>
              </w:tc>
            </w:tr>
            <w:tr>
              <w:tc>
                <w:tcPr>
                  <w:tcW w:type="dxa" w:w="346"/>
                  <w:vMerge/>
                  <w:tcBorders>
                    <w:top w:val="single" w:color="000000" w:sz="4"/>
                    <w:left w:val="single" w:color="000000" w:sz="4"/>
                    <w:bottom w:val="single" w:color="000000" w:sz="4"/>
                    <w:right w:val="single" w:color="000000" w:sz="4"/>
                  </w:tcBorders>
                </w:tcPr>
                <w:p/>
              </w:tc>
              <w:tc>
                <w:tcPr>
                  <w:tcW w:type="dxa" w:w="462"/>
                  <w:vMerge/>
                  <w:tcBorders>
                    <w:top w:val="singl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资产报表与统计</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后台管控平台可以查看导出终端状态、应用安装统计数</w:t>
                  </w:r>
                </w:p>
              </w:tc>
            </w:tr>
            <w:tr>
              <w:tc>
                <w:tcPr>
                  <w:tcW w:type="dxa" w:w="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围栏管理</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围栏管理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时间围栏</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可配置时间围栏的管理动作，当手机到达设定的时间自动触发执行时间围栏配置的管理，（时区变化后时区矫正，自动更新，时区策略）</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地理围栏</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可配置地理围栏的管理动作（围栏内或者围栏外），当手机在指定的地理位置时自动触发执行地理围栏配置的管理</w:t>
                  </w:r>
                </w:p>
              </w:tc>
            </w:tr>
            <w:tr>
              <w:tc>
                <w:tcPr>
                  <w:tcW w:type="dxa" w:w="3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4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强壮性管理</w:t>
                  </w:r>
                </w:p>
              </w:tc>
              <w:tc>
                <w:tcPr>
                  <w:tcW w:type="dxa" w:w="51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强壮性管理</w:t>
                  </w: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管控软件防卸载</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产品支持管控客户端卸载保护机制，用户无法卸载客户端。管理员卸载客户端应用程序需要通过输入卸载密码或通过管理中心指令卸载</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防止恢复出厂（增强受控终端）</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恢复出厂设置后不进行注册无法使用</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管控软件系统权限保活</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系统清理内存模式下、低电量模式下、息屏后台进程清理情况下管控软件进程依然保活</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能耗管理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在终端必要系统软件正常运行情况下，安装并激活终端管控app，平均每小时耗电增加不超过20毫安</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终端管理</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要求系统能够承载管理≥10000台设备，且能够根据实际需要进行线性扩容</w:t>
                  </w:r>
                </w:p>
              </w:tc>
            </w:tr>
            <w:tr>
              <w:tc>
                <w:tcPr>
                  <w:tcW w:type="dxa" w:w="346"/>
                  <w:vMerge/>
                  <w:tcBorders>
                    <w:top w:val="none" w:color="000000" w:sz="4"/>
                    <w:left w:val="single" w:color="000000" w:sz="4"/>
                    <w:bottom w:val="single" w:color="000000" w:sz="4"/>
                    <w:right w:val="single" w:color="000000" w:sz="4"/>
                  </w:tcBorders>
                </w:tcPr>
                <w:p/>
              </w:tc>
              <w:tc>
                <w:tcPr>
                  <w:tcW w:type="dxa" w:w="462"/>
                  <w:vMerge/>
                  <w:tcBorders>
                    <w:top w:val="none" w:color="000000" w:sz="4"/>
                    <w:left w:val="none" w:color="000000" w:sz="4"/>
                    <w:bottom w:val="single" w:color="000000" w:sz="4"/>
                    <w:right w:val="single" w:color="000000" w:sz="4"/>
                  </w:tcBorders>
                </w:tcPr>
                <w:p/>
              </w:tc>
              <w:tc>
                <w:tcPr>
                  <w:tcW w:type="dxa" w:w="519"/>
                  <w:vMerge/>
                  <w:tcBorders>
                    <w:top w:val="none" w:color="000000" w:sz="4"/>
                    <w:left w:val="none" w:color="000000" w:sz="4"/>
                    <w:bottom w:val="single" w:color="000000" w:sz="4"/>
                    <w:right w:val="single" w:color="000000" w:sz="4"/>
                  </w:tcBorders>
                </w:tcPr>
                <w:p/>
              </w:tc>
              <w:tc>
                <w:tcPr>
                  <w:tcW w:type="dxa" w:w="10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系统响应</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实时管控命令反馈：≤5秒</w:t>
                  </w:r>
                </w:p>
              </w:tc>
            </w:tr>
          </w:tbl>
          <w:p>
            <w:pPr>
              <w:pStyle w:val="null3"/>
              <w:ind w:firstLine="420"/>
              <w:jc w:val="both"/>
            </w:pPr>
          </w:p>
        </w:tc>
      </w:tr>
      <w:tr>
        <w:tc>
          <w:tcPr>
            <w:tcW w:type="dxa" w:w="2076"/>
          </w:tcPr>
          <w:p/>
        </w:tc>
        <w:tc>
          <w:tcPr>
            <w:tcW w:type="dxa" w:w="415"/>
          </w:tcPr>
          <w:p>
            <w:pPr>
              <w:pStyle w:val="null3"/>
            </w:pPr>
            <w:r>
              <w:rPr/>
              <w:t>2</w:t>
            </w:r>
          </w:p>
        </w:tc>
        <w:tc>
          <w:tcPr>
            <w:tcW w:type="dxa" w:w="5814"/>
          </w:tcPr>
          <w:p>
            <w:pPr>
              <w:pStyle w:val="null3"/>
            </w:pPr>
            <w:r>
              <w:rPr>
                <w:sz w:val="24"/>
                <w:b/>
              </w:rPr>
              <w:t>二、项目实施和服务要求</w:t>
            </w:r>
          </w:p>
          <w:p>
            <w:pPr>
              <w:pStyle w:val="null3"/>
              <w:ind w:firstLine="482"/>
            </w:pPr>
            <w:r>
              <w:rPr>
                <w:sz w:val="24"/>
                <w:b/>
              </w:rPr>
              <w:t>（一）项目进度</w:t>
            </w:r>
          </w:p>
          <w:p>
            <w:pPr>
              <w:pStyle w:val="null3"/>
              <w:ind w:firstLine="482"/>
            </w:pPr>
            <w:r>
              <w:rPr>
                <w:sz w:val="24"/>
              </w:rPr>
              <w:t>1、项目服务期起算办法</w:t>
            </w:r>
          </w:p>
          <w:p>
            <w:pPr>
              <w:pStyle w:val="null3"/>
              <w:ind w:firstLine="480"/>
              <w:jc w:val="both"/>
            </w:pPr>
            <w:r>
              <w:rPr>
                <w:sz w:val="24"/>
              </w:rPr>
              <w:t>中标人要求在2025年7月1日前完成警务应用语音流量套餐、MDM等所有服务内容。确保语音流量套餐和MDM的无缝过渡及正常运行。</w:t>
            </w:r>
          </w:p>
          <w:p>
            <w:pPr>
              <w:pStyle w:val="null3"/>
              <w:ind w:firstLine="480"/>
            </w:pPr>
            <w:r>
              <w:rPr>
                <w:sz w:val="24"/>
              </w:rPr>
              <w:t>完成上述内容后，由采购人组织验收，验收合格之次日起开始起计算服务期和租金。</w:t>
            </w:r>
          </w:p>
          <w:p>
            <w:pPr>
              <w:pStyle w:val="null3"/>
              <w:ind w:firstLine="482"/>
            </w:pPr>
            <w:r>
              <w:rPr>
                <w:sz w:val="24"/>
                <w:b/>
              </w:rPr>
              <w:t>（二）项目运维维护要求</w:t>
            </w:r>
          </w:p>
          <w:p>
            <w:pPr>
              <w:pStyle w:val="null3"/>
              <w:ind w:firstLine="480"/>
              <w:jc w:val="both"/>
            </w:pPr>
            <w:r>
              <w:rPr>
                <w:sz w:val="24"/>
              </w:rPr>
              <w:t>1、技术保障及日常检测要求：中标人需负责对所提供的网络及MDM进行技术保障，保障系统在服务期间正常运行，由专职的维护人员为用户提供专业的技术支持和服务。在服务期内因MDM或通信网络中断的产生的故障，由中标人负责免费维修。同时，中标人需定时检测网络和MDM的运行状况，及时排除系统存在的隐患。</w:t>
            </w:r>
          </w:p>
          <w:p>
            <w:pPr>
              <w:pStyle w:val="null3"/>
              <w:ind w:firstLine="480"/>
              <w:jc w:val="both"/>
            </w:pPr>
            <w:r>
              <w:rPr>
                <w:sz w:val="24"/>
              </w:rPr>
              <w:t>2、故障响应要求：网络或MDM报修要求在2小时内响应。</w:t>
            </w:r>
          </w:p>
          <w:p>
            <w:pPr>
              <w:pStyle w:val="null3"/>
              <w:ind w:firstLine="480"/>
              <w:jc w:val="both"/>
            </w:pPr>
            <w:r>
              <w:rPr>
                <w:sz w:val="24"/>
              </w:rPr>
              <w:t>3、要求中标人在服务期内针对派出所提供完善的专人专职售后沟通机制，保证采购人做售后维保时的便利性。</w:t>
            </w:r>
          </w:p>
          <w:p>
            <w:pPr>
              <w:pStyle w:val="null3"/>
              <w:ind w:firstLine="480"/>
              <w:jc w:val="both"/>
            </w:pPr>
            <w:r>
              <w:rPr>
                <w:sz w:val="24"/>
              </w:rPr>
              <w:t>4、中标人需对番禺区域5G/4G网络覆盖进行保障，实现番禺区域5G/4G信号全覆盖，如发现信号盲点，应及时响应，提供信号优化解决方案并解决覆盖问题，响应时限要求不超过4小时。</w:t>
            </w:r>
          </w:p>
          <w:p>
            <w:pPr>
              <w:pStyle w:val="null3"/>
              <w:ind w:firstLine="482"/>
            </w:pPr>
            <w:r>
              <w:rPr>
                <w:sz w:val="24"/>
                <w:b/>
              </w:rPr>
              <w:t>（三）培训要求</w:t>
            </w:r>
          </w:p>
          <w:p>
            <w:pPr>
              <w:pStyle w:val="null3"/>
              <w:ind w:firstLine="480"/>
              <w:jc w:val="both"/>
            </w:pPr>
            <w:r>
              <w:rPr>
                <w:sz w:val="24"/>
              </w:rPr>
              <w:t>中标人必须满足本章要求的培训服务。</w:t>
            </w:r>
          </w:p>
          <w:p>
            <w:pPr>
              <w:pStyle w:val="null3"/>
              <w:ind w:firstLine="480"/>
              <w:jc w:val="both"/>
            </w:pPr>
            <w:r>
              <w:rPr>
                <w:sz w:val="24"/>
              </w:rPr>
              <w:t>1、对本项目的采购人技术人员提供培训服务，服务期内提供不少于1次培训服务；</w:t>
            </w:r>
          </w:p>
          <w:p>
            <w:pPr>
              <w:pStyle w:val="null3"/>
              <w:ind w:firstLine="480"/>
              <w:jc w:val="both"/>
            </w:pPr>
            <w:r>
              <w:rPr>
                <w:sz w:val="24"/>
              </w:rPr>
              <w:t>2、中标人的投标报价应将所有培训费用（含培训教材费）等费用包含在内。</w:t>
            </w:r>
          </w:p>
          <w:p>
            <w:pPr>
              <w:pStyle w:val="null3"/>
              <w:ind w:firstLine="482"/>
            </w:pPr>
            <w:r>
              <w:rPr>
                <w:sz w:val="24"/>
                <w:b/>
              </w:rPr>
              <w:t>（四）其他服务要求</w:t>
            </w:r>
          </w:p>
          <w:p>
            <w:pPr>
              <w:pStyle w:val="null3"/>
              <w:ind w:firstLine="480"/>
              <w:jc w:val="both"/>
            </w:pPr>
            <w:r>
              <w:rPr>
                <w:sz w:val="24"/>
              </w:rPr>
              <w:t>在合同期满后，采购人未能签订新的续约合同前，中标人承诺不高于原投标价格继续提供服务。在采购人签订新的续约合同后，中标人承诺免费做好各项交接工作。</w:t>
            </w:r>
          </w:p>
          <w:p>
            <w:pPr>
              <w:pStyle w:val="null3"/>
              <w:ind w:firstLine="482"/>
            </w:pPr>
            <w:r>
              <w:rPr>
                <w:sz w:val="24"/>
                <w:b/>
              </w:rPr>
              <w:t>（五）运维考核</w:t>
            </w:r>
          </w:p>
          <w:p>
            <w:pPr>
              <w:pStyle w:val="null3"/>
              <w:ind w:firstLine="480"/>
              <w:jc w:val="both"/>
            </w:pPr>
            <w:r>
              <w:rPr>
                <w:sz w:val="24"/>
              </w:rPr>
              <w:t>因移动终端管理软件或通信网络中断连续48小时以上无法提供服务的，每超24小时减免整体月租3%。</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广州市公安局番禺区分局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公安局番禺区分局1625台移动警务终端通信服务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采购包1（广州市公安局番禺区分局1625台移动警务终端通信服务采购项目）：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采购包1（广州市公安局番禺区分局1625台移动警务终端通信服务采购项目）：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根据《政府采购促进中小企业发展管理办法》的规定，本项目属于“按照本办法规定预留采购份额无法确保充分供应、充分竞争，或者存在可能影响政府采购目标实现的情形”，本项目不属于专门面向中小企业采购的项目。 本项目所属行业为“信息传输业”，请按该行业划分标准进行中小企业声明。</w:t>
            </w:r>
          </w:p>
        </w:tc>
      </w:tr>
    </w:tbl>
    <w:p>
      <w:pPr>
        <w:pStyle w:val="null3"/>
        <w:ind w:firstLine="480"/>
      </w:pPr>
      <w:r>
        <w:rPr/>
        <w:t>表二符合性审查表：</w:t>
      </w:r>
    </w:p>
    <w:p>
      <w:pPr>
        <w:pStyle w:val="null3"/>
      </w:pPr>
      <w:r>
        <w:rPr/>
        <w:t>采购包1（广州市公安局番禺区分局1625台移动警务终端通信服务采购项目）：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采购包1(广州市公安局番禺区分局1625台移动警务终端通信服务采购项目):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终端管控软件（MDM）服务要求响应情况 (8.0分)</w:t>
            </w:r>
          </w:p>
        </w:tc>
        <w:tc>
          <w:tcPr>
            <w:tcW w:type="dxa" w:w="5076"/>
          </w:tcPr>
          <w:p>
            <w:pPr>
              <w:pStyle w:val="null3"/>
              <w:jc w:val="left"/>
            </w:pPr>
            <w:r>
              <w:rPr/>
              <w:t>投标人对第二章采购需求附表一“一、项目具体要求”的“3、终端管控软件（MDM）服务要求”的8个功能模块响应情况进行评审，每个模块完全满足或优于的，得1分，模块中如有一项不满足的，不得分，最高8分。 注：以投标人投标文件中提供的《技术和服务要求响应表》的响应情况进行评审。</w:t>
            </w:r>
          </w:p>
        </w:tc>
      </w:tr>
      <w:tr>
        <w:tc>
          <w:tcPr>
            <w:tcW w:type="dxa" w:w="922"/>
            <w:gridSpan w:val="2"/>
            <w:vMerge/>
          </w:tcPr>
          <w:p/>
        </w:tc>
        <w:tc>
          <w:tcPr>
            <w:tcW w:type="dxa" w:w="2307"/>
          </w:tcPr>
          <w:p>
            <w:pPr>
              <w:pStyle w:val="null3"/>
              <w:jc w:val="left"/>
            </w:pPr>
            <w:r>
              <w:rPr/>
              <w:t>移动警务通信套餐响应情况 (5.0分)</w:t>
            </w:r>
          </w:p>
        </w:tc>
        <w:tc>
          <w:tcPr>
            <w:tcW w:type="dxa" w:w="5076"/>
          </w:tcPr>
          <w:p>
            <w:pPr>
              <w:pStyle w:val="null3"/>
              <w:jc w:val="left"/>
            </w:pPr>
            <w:r>
              <w:rPr/>
              <w:t>投标人根据采购文件“第二章采购需求”中一、项目具体要求的“1、移动警务通信套餐要求”的响应情况进行评审： 725套移动警务套餐包括：每月不少于800分钟国内通话，全国接听免费；每月不少于10G全国互联网上网流量；每月不少于30G公安专网上网流量。900套移动警务套餐包括：每月不少于800分钟国内通话，全国接听免费；每月不少于30G全国互联网上网流量；每月不少于30G公安专网上网流量。900套移动终端VPMN集群网互打免费。 完全满足上述要求的，得1分；在此基础上，725套及900套的国内通话时间每增加50分钟，得1分，最高4分，本项最高得5分。 注：以投标人投标文件中提供的《技术和服务要求响应表》的响应情况进行评审。</w:t>
            </w:r>
          </w:p>
        </w:tc>
      </w:tr>
      <w:tr>
        <w:tc>
          <w:tcPr>
            <w:tcW w:type="dxa" w:w="922"/>
            <w:gridSpan w:val="2"/>
            <w:vMerge/>
          </w:tcPr>
          <w:p/>
        </w:tc>
        <w:tc>
          <w:tcPr>
            <w:tcW w:type="dxa" w:w="2307"/>
          </w:tcPr>
          <w:p>
            <w:pPr>
              <w:pStyle w:val="null3"/>
              <w:jc w:val="left"/>
            </w:pPr>
            <w:r>
              <w:rPr/>
              <w:t>整体技术服务方案1 (2.0分)</w:t>
            </w:r>
          </w:p>
        </w:tc>
        <w:tc>
          <w:tcPr>
            <w:tcW w:type="dxa" w:w="5076"/>
          </w:tcPr>
          <w:p>
            <w:pPr>
              <w:pStyle w:val="null3"/>
              <w:jc w:val="left"/>
            </w:pPr>
            <w:r>
              <w:rPr/>
              <w:t>投标人根据采购文件“第二章采购需求”的整体内容对项目的整体技术服务提出整体方案：内容应包括①对采购需求的理解程度；②工作进度计划；③质量保障措施方案。提供的方案包含上述3小项内容要求的，得2分，无完整提供此项及整体技术服务方案2不得分。</w:t>
            </w:r>
          </w:p>
        </w:tc>
      </w:tr>
      <w:tr>
        <w:tc>
          <w:tcPr>
            <w:tcW w:type="dxa" w:w="922"/>
            <w:gridSpan w:val="2"/>
            <w:vMerge/>
          </w:tcPr>
          <w:p/>
        </w:tc>
        <w:tc>
          <w:tcPr>
            <w:tcW w:type="dxa" w:w="2307"/>
          </w:tcPr>
          <w:p>
            <w:pPr>
              <w:pStyle w:val="null3"/>
              <w:jc w:val="left"/>
            </w:pPr>
            <w:r>
              <w:rPr/>
              <w:t>整体技术服务方案2 (11.0分)</w:t>
            </w:r>
          </w:p>
        </w:tc>
        <w:tc>
          <w:tcPr>
            <w:tcW w:type="dxa" w:w="5076"/>
          </w:tcPr>
          <w:p>
            <w:pPr>
              <w:pStyle w:val="null3"/>
              <w:jc w:val="left"/>
            </w:pPr>
            <w:r>
              <w:rPr/>
              <w:t>在符合“整体技术服务方案1”的基础上，对投标人提供的整体技术服务方案进行评审： （1）整体技术服务方案内容详细，对采购需求的理解程度切合项目采购需求，工作进度计划、质量保障措施方案有利于项目的实施，完全满足且优于采购需求的，得11分； （2）整体技术服务方案内容较详细，对采购需求的理解程度较贴合项目采购需求，工作进度计划、质量保障措施方案能确保项目的实施，完全满足采购需求的，得7分； （3）整体技术服务方案内容简单，对采购需求的理解程度不符合项目采购需求，工作进度计划、质量保障措施方案部分内容能确保项目的实施，部分满足采购需求的，得4分； （4）整体技术服务方案内容不满足采购需求的，得0分。</w:t>
            </w:r>
          </w:p>
        </w:tc>
      </w:tr>
      <w:tr>
        <w:tc>
          <w:tcPr>
            <w:tcW w:type="dxa" w:w="922"/>
            <w:gridSpan w:val="2"/>
            <w:vMerge/>
          </w:tcPr>
          <w:p/>
        </w:tc>
        <w:tc>
          <w:tcPr>
            <w:tcW w:type="dxa" w:w="2307"/>
          </w:tcPr>
          <w:p>
            <w:pPr>
              <w:pStyle w:val="null3"/>
              <w:jc w:val="left"/>
            </w:pPr>
            <w:r>
              <w:rPr/>
              <w:t>项目运维维护方案1 (2.0分)</w:t>
            </w:r>
          </w:p>
        </w:tc>
        <w:tc>
          <w:tcPr>
            <w:tcW w:type="dxa" w:w="5076"/>
          </w:tcPr>
          <w:p>
            <w:pPr>
              <w:pStyle w:val="null3"/>
              <w:jc w:val="left"/>
            </w:pPr>
            <w:r>
              <w:rPr/>
              <w:t>投标人根据采购文件“第二章采购需求”中“项目运维维护要求”等内容提供项目运维维护方案：内容应包括：①售后技术支持保障方案；②维修服务；③日常检测机制；④专人专职售后沟通机制；⑤故障响应机制。提供的方案包含上述5小项内容要求的，得2分，无完整提供此项及项目运维维护方案2不得分。</w:t>
            </w:r>
          </w:p>
        </w:tc>
      </w:tr>
      <w:tr>
        <w:tc>
          <w:tcPr>
            <w:tcW w:type="dxa" w:w="922"/>
            <w:gridSpan w:val="2"/>
            <w:vMerge/>
          </w:tcPr>
          <w:p/>
        </w:tc>
        <w:tc>
          <w:tcPr>
            <w:tcW w:type="dxa" w:w="2307"/>
          </w:tcPr>
          <w:p>
            <w:pPr>
              <w:pStyle w:val="null3"/>
              <w:jc w:val="left"/>
            </w:pPr>
            <w:r>
              <w:rPr/>
              <w:t>项目运维维护方案2 (10.0分)</w:t>
            </w:r>
          </w:p>
        </w:tc>
        <w:tc>
          <w:tcPr>
            <w:tcW w:type="dxa" w:w="5076"/>
          </w:tcPr>
          <w:p>
            <w:pPr>
              <w:pStyle w:val="null3"/>
              <w:jc w:val="left"/>
            </w:pPr>
            <w:r>
              <w:rPr/>
              <w:t>在符合“项目运维维护方案1”的基础上，对投标人提供的项目运维维护方案内容情况进行评审： （1）项目运维维护方案内容详细，安装及维修服务、日常检测机制保障措施详细，整体项目运维服务方案有利于项目的实施，完全满足且优于采购需求的，得10分； （2）项目运维维护方案内容较详细，安装及维修服务、日常检测机制有一定的保障措施，整体项目运维服务方案能确保项目的实施，完全满足采购需求的，得6分； （3）项目运维维护方案内容简单，有提供安装及维修服务、日常检测机制但是保障措施不可行，整体项目运维服务方案部分内容能确保项目的实施，部分满足采购需求的，得3分； （4）项目运维维护方案内容不能满足采购需求的，得0分。</w:t>
            </w:r>
          </w:p>
        </w:tc>
      </w:tr>
      <w:tr>
        <w:tc>
          <w:tcPr>
            <w:tcW w:type="dxa" w:w="922"/>
            <w:gridSpan w:val="2"/>
            <w:vMerge/>
          </w:tcPr>
          <w:p/>
        </w:tc>
        <w:tc>
          <w:tcPr>
            <w:tcW w:type="dxa" w:w="2307"/>
          </w:tcPr>
          <w:p>
            <w:pPr>
              <w:pStyle w:val="null3"/>
              <w:jc w:val="left"/>
            </w:pPr>
            <w:r>
              <w:rPr/>
              <w:t>技术培训方案1 (2.0分)</w:t>
            </w:r>
          </w:p>
        </w:tc>
        <w:tc>
          <w:tcPr>
            <w:tcW w:type="dxa" w:w="5076"/>
          </w:tcPr>
          <w:p>
            <w:pPr>
              <w:pStyle w:val="null3"/>
              <w:jc w:val="left"/>
            </w:pPr>
            <w:r>
              <w:rPr/>
              <w:t>投标人根据采购文件“第二章采购需求”中“（三）培训要求”内容提供技术培训方案：内容应包括：①培训内容及保障措施；②培训计划安排。提供的方案包含上述2小项内容要求的，得2分，无完整提供此项及技术培训方案2不得分。</w:t>
            </w:r>
          </w:p>
        </w:tc>
      </w:tr>
      <w:tr>
        <w:tc>
          <w:tcPr>
            <w:tcW w:type="dxa" w:w="922"/>
            <w:gridSpan w:val="2"/>
            <w:vMerge/>
          </w:tcPr>
          <w:p/>
        </w:tc>
        <w:tc>
          <w:tcPr>
            <w:tcW w:type="dxa" w:w="2307"/>
          </w:tcPr>
          <w:p>
            <w:pPr>
              <w:pStyle w:val="null3"/>
              <w:jc w:val="left"/>
            </w:pPr>
            <w:r>
              <w:rPr/>
              <w:t>技术培训方案2 (10.0分)</w:t>
            </w:r>
          </w:p>
        </w:tc>
        <w:tc>
          <w:tcPr>
            <w:tcW w:type="dxa" w:w="5076"/>
          </w:tcPr>
          <w:p>
            <w:pPr>
              <w:pStyle w:val="null3"/>
              <w:jc w:val="left"/>
            </w:pPr>
            <w:r>
              <w:rPr/>
              <w:t>在符合“技术培训方案1”的基础上，对投标人提供的售后服务和技术培训方案内容情况进行评审： （1）技术培训方案内容详细，内容贴切项目要求，培训计划安排有利于项目的实施，完全满足且优于采购需求的，得10分； （2）技术培训方案内容较详细，内容较贴切项目要求，培训计划安排能确保项目的实施，完全满足采购需求的，得6分； （3）技术培训方案内容简单，内容不贴切项目要求，培训计划安排部分内容能确保项目的实施，部分满足采购需求的，得3分； （4）技术培训方案内容不能满足采购需求的，得0分。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投标人自2022年1月1日以来承接的同类项目业绩经验（以合同签订日期为准）。每提供一项得2分，最高得8分。 注：须提供合同关键页扫描件（关键页包括合同名称、合同时间、内容范围、签字盖章页等）；无或不按要求提供的不得分。分支机构投标的，总公司(总所)业绩可纳入评审。</w:t>
            </w:r>
          </w:p>
        </w:tc>
      </w:tr>
      <w:tr>
        <w:tc>
          <w:tcPr>
            <w:tcW w:type="dxa" w:w="922"/>
            <w:gridSpan w:val="2"/>
            <w:vMerge/>
          </w:tcPr>
          <w:p/>
        </w:tc>
        <w:tc>
          <w:tcPr>
            <w:tcW w:type="dxa" w:w="2307"/>
          </w:tcPr>
          <w:p>
            <w:pPr>
              <w:pStyle w:val="null3"/>
              <w:jc w:val="left"/>
            </w:pPr>
            <w:r>
              <w:rPr/>
              <w:t>用户评价 (2.0分)</w:t>
            </w:r>
          </w:p>
        </w:tc>
        <w:tc>
          <w:tcPr>
            <w:tcW w:type="dxa" w:w="5076"/>
          </w:tcPr>
          <w:p>
            <w:pPr>
              <w:pStyle w:val="null3"/>
              <w:jc w:val="left"/>
            </w:pPr>
            <w:r>
              <w:rPr/>
              <w:t>投标人提供2022年1月1日以来用户单位出具的同类项目的满意度评价表（以用户出具时间为准），且评价结果为满意或类似好评或评分不低于90分：每提供一项得1分，最高得2分。 注：用户满意度评价须经用户单位盖章，评价情况至少须为满意或类似好评或评分不低于90分的方可计分。</w:t>
            </w:r>
          </w:p>
        </w:tc>
      </w:tr>
      <w:tr>
        <w:tc>
          <w:tcPr>
            <w:tcW w:type="dxa" w:w="922"/>
            <w:gridSpan w:val="2"/>
            <w:vMerge/>
          </w:tcPr>
          <w:p/>
        </w:tc>
        <w:tc>
          <w:tcPr>
            <w:tcW w:type="dxa" w:w="2307"/>
          </w:tcPr>
          <w:p>
            <w:pPr>
              <w:pStyle w:val="null3"/>
              <w:jc w:val="left"/>
            </w:pPr>
            <w:r>
              <w:rPr/>
              <w:t>项目负责人情况 (6.0分)</w:t>
            </w:r>
          </w:p>
        </w:tc>
        <w:tc>
          <w:tcPr>
            <w:tcW w:type="dxa" w:w="5076"/>
          </w:tcPr>
          <w:p>
            <w:pPr>
              <w:pStyle w:val="null3"/>
              <w:jc w:val="left"/>
            </w:pPr>
            <w:r>
              <w:rPr/>
              <w:t>投标人拟委派的项目经理（1人）须具备以下资质条件： 1.具有高级工程师职称，得2分，无不得分。 2.具有软考信息系统项目管理师证书，得2分，无不得分。 3.具有软考网络工程师证书，得2分，无不得分。 注：须提供以上资质证明材料及在投标人服务的外部证明材料扫描件，如投标截止日之前六个月以内任意月份的代缴个税税单或参加社会保险的《投保单》或《 社会保险参保人员证明》或劳动合同扫描件等。不提供或专家无法认定的不得分。</w:t>
            </w:r>
          </w:p>
        </w:tc>
      </w:tr>
      <w:tr>
        <w:tc>
          <w:tcPr>
            <w:tcW w:type="dxa" w:w="922"/>
            <w:gridSpan w:val="2"/>
            <w:vMerge/>
          </w:tcPr>
          <w:p/>
        </w:tc>
        <w:tc>
          <w:tcPr>
            <w:tcW w:type="dxa" w:w="2307"/>
          </w:tcPr>
          <w:p>
            <w:pPr>
              <w:pStyle w:val="null3"/>
              <w:jc w:val="left"/>
            </w:pPr>
            <w:r>
              <w:rPr/>
              <w:t>团队人员情况 (9.0分)</w:t>
            </w:r>
          </w:p>
        </w:tc>
        <w:tc>
          <w:tcPr>
            <w:tcW w:type="dxa" w:w="5076"/>
          </w:tcPr>
          <w:p>
            <w:pPr>
              <w:pStyle w:val="null3"/>
              <w:jc w:val="left"/>
            </w:pPr>
            <w:r>
              <w:rPr/>
              <w:t>本项目的团队成员包括： 1.技术总负责人（1人，不含项目经理）：具有软考网络工程师证书；具有通信专业技术人员资格证书；每满足1项得1分，完全满足得2分。 2.通信技术负责人（1人，不含项目经理以及技术总负责人）：具有软考信息安全工程师证书；具有通信专业技术人员资格证书；每满足1项得1分，完全满足得2分。 3.项目团队其他成员（不少于5人，1人具备多个证书的仅计算1个）： 具有软考网络规划设计师证书的，得1分； 具有通信专业技术人员职业资格证书的，每提供1人得1分，最高得2分； 具有软考网络工程师证书的，每提供1人得1分，最高得2分。 注：本项满分9分。须提供以上资质证明材料及服务人员在投标人服务的外部证明材料扫描件，如投标截止日之前六个月以内任意月份的代缴个 税税单或参加社会保险的《投保单》或《社会保险参保人员证明》或劳动 合同扫描件等。不满足不提供的不得分。</w:t>
            </w:r>
          </w:p>
        </w:tc>
      </w:tr>
      <w:tr>
        <w:tc>
          <w:tcPr>
            <w:tcW w:type="dxa" w:w="922"/>
            <w:gridSpan w:val="2"/>
            <w:vMerge/>
          </w:tcPr>
          <w:p/>
        </w:tc>
        <w:tc>
          <w:tcPr>
            <w:tcW w:type="dxa" w:w="2307"/>
          </w:tcPr>
          <w:p>
            <w:pPr>
              <w:pStyle w:val="null3"/>
              <w:jc w:val="left"/>
            </w:pPr>
            <w:r>
              <w:rPr/>
              <w:t>企业认证 (3.0分)</w:t>
            </w:r>
          </w:p>
        </w:tc>
        <w:tc>
          <w:tcPr>
            <w:tcW w:type="dxa" w:w="5076"/>
          </w:tcPr>
          <w:p>
            <w:pPr>
              <w:pStyle w:val="null3"/>
              <w:jc w:val="left"/>
            </w:pPr>
            <w:r>
              <w:rPr/>
              <w:t>投标人具有有效的质量管理体系认证证书的，得1分； 投标人具有有效的环境管理体系认证证书的，得1分； 投标人具有有效的职业健康管理体系认证证书的，得1分。 注：投标人应提供有效期内的证书扫描件或有效的网络查询途径和查询状态截图；不提供或不满足的不得分。分支机构投标，总公司(总所)资质纳入评审。新成立的公司因实施运行不满3个月无法办理认证证书的，可对应得分。</w:t>
            </w:r>
          </w:p>
        </w:tc>
      </w:tr>
      <w:tr>
        <w:tc>
          <w:tcPr>
            <w:tcW w:type="dxa" w:w="922"/>
            <w:gridSpan w:val="2"/>
            <w:vMerge/>
          </w:tcPr>
          <w:p/>
        </w:tc>
        <w:tc>
          <w:tcPr>
            <w:tcW w:type="dxa" w:w="2307"/>
          </w:tcPr>
          <w:p>
            <w:pPr>
              <w:pStyle w:val="null3"/>
              <w:jc w:val="left"/>
            </w:pPr>
            <w:r>
              <w:rPr/>
              <w:t>投标人为本项目移动警务终端所提供的网络资源覆盖情况 (4.0分)</w:t>
            </w:r>
          </w:p>
        </w:tc>
        <w:tc>
          <w:tcPr>
            <w:tcW w:type="dxa" w:w="5076"/>
          </w:tcPr>
          <w:p>
            <w:pPr>
              <w:pStyle w:val="null3"/>
              <w:jc w:val="left"/>
            </w:pPr>
            <w:r>
              <w:rPr/>
              <w:t>对投标人为本项目移动警务终端所提供的网络5G/4G资源覆盖情况进行评审： 无线通信网络频宽总和≥400MHz，得4分； 300MHz≤无线通信网络频宽总和＜400MHz，得2分； 无线通信网络频宽总和＜300MHz或不提供的，不得分。 注：须提供以上内容的相关证明文件，若为租用网络需提供出租方授权函及相关证明材料扫描件。</w:t>
            </w:r>
          </w:p>
        </w:tc>
      </w:tr>
      <w:tr>
        <w:tc>
          <w:tcPr>
            <w:tcW w:type="dxa" w:w="922"/>
            <w:gridSpan w:val="2"/>
            <w:vMerge/>
          </w:tcPr>
          <w:p/>
        </w:tc>
        <w:tc>
          <w:tcPr>
            <w:tcW w:type="dxa" w:w="2307"/>
          </w:tcPr>
          <w:p>
            <w:pPr>
              <w:pStyle w:val="null3"/>
              <w:jc w:val="left"/>
            </w:pPr>
            <w:r>
              <w:rPr/>
              <w:t>对非重大违法违规记录的扣分 (3.0分)</w:t>
            </w:r>
          </w:p>
        </w:tc>
        <w:tc>
          <w:tcPr>
            <w:tcW w:type="dxa" w:w="5076"/>
          </w:tcPr>
          <w:p>
            <w:pPr>
              <w:pStyle w:val="null3"/>
              <w:jc w:val="left"/>
            </w:pPr>
            <w:r>
              <w:rPr/>
              <w:t>以“信用中国”（www.creditchina.gov.cn）网站为查询渠道： 对列入行政处罚或经营异常的供应商每一条记录扣1分，最高扣3分。如查询结果显示没有相关记录，视为没有上述非重大违法违规记录，则不扣分。以评标委员会于评审时在上述网站查询结果为准，评标委员会应将上述记录查询情况截图存档。 注：总公司（总所）投标的，只查询总公司（总所）；分支机构（分所）投标的，只查询该分支机构。</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20"/>
      </w:pPr>
      <w:r>
        <w:rPr/>
        <w:t xml:space="preserve"> </w:t>
      </w:r>
    </w:p>
    <w:p>
      <w:pPr>
        <w:pStyle w:val="null3"/>
        <w:ind w:firstLine="420"/>
      </w:pPr>
      <w:r>
        <w:rPr>
          <w:sz w:val="24"/>
        </w:rPr>
        <w:t>合同编号：</w:t>
      </w:r>
    </w:p>
    <w:p>
      <w:pPr>
        <w:pStyle w:val="null3"/>
        <w:ind w:firstLine="420"/>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服</w:t>
      </w:r>
      <w:r>
        <w:rPr>
          <w:sz w:val="72"/>
          <w:b/>
        </w:rPr>
        <w:t>务</w:t>
      </w:r>
      <w:r>
        <w:rPr>
          <w:sz w:val="72"/>
          <w:b/>
        </w:rPr>
        <w:t>合</w:t>
      </w:r>
      <w:r>
        <w:rPr>
          <w:sz w:val="72"/>
          <w:b/>
        </w:rPr>
        <w:t>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7"/>
        </w:rPr>
        <w:t>项目名称：</w:t>
      </w:r>
      <w:r>
        <w:rPr>
          <w:sz w:val="27"/>
          <w:u w:val="single"/>
        </w:rPr>
        <w:t>广州市公安局番禺区分局1625台移动警务终端通信服务采购项目</w:t>
      </w:r>
    </w:p>
    <w:p>
      <w:pPr>
        <w:pStyle w:val="null3"/>
        <w:ind w:firstLine="420"/>
      </w:pPr>
      <w:r>
        <w:rPr/>
        <w:t xml:space="preserve"> </w:t>
      </w:r>
    </w:p>
    <w:p>
      <w:pPr>
        <w:pStyle w:val="null3"/>
        <w:ind w:firstLine="420"/>
      </w:pPr>
      <w:r>
        <w:rPr>
          <w:sz w:val="27"/>
        </w:rPr>
        <w:t>委托方（甲方）：</w:t>
      </w:r>
      <w:r>
        <w:rPr>
          <w:sz w:val="27"/>
          <w:u w:val="single"/>
        </w:rPr>
        <w:t>广州市公安局番禺区分局</w:t>
      </w:r>
    </w:p>
    <w:p>
      <w:pPr>
        <w:pStyle w:val="null3"/>
        <w:ind w:firstLine="420"/>
      </w:pPr>
      <w:r>
        <w:rPr/>
        <w:t xml:space="preserve"> </w:t>
      </w:r>
    </w:p>
    <w:p>
      <w:pPr>
        <w:pStyle w:val="null3"/>
        <w:ind w:firstLine="420"/>
      </w:pPr>
      <w:r>
        <w:rPr>
          <w:sz w:val="27"/>
        </w:rPr>
        <w:t>受托方（乙方）：</w:t>
      </w:r>
    </w:p>
    <w:p>
      <w:pPr>
        <w:pStyle w:val="null3"/>
        <w:ind w:firstLine="420"/>
      </w:pPr>
      <w:r>
        <w:rPr/>
        <w:t xml:space="preserve"> </w:t>
      </w:r>
    </w:p>
    <w:p>
      <w:pPr>
        <w:pStyle w:val="null3"/>
        <w:ind w:firstLine="420"/>
      </w:pPr>
      <w:r>
        <w:rPr>
          <w:sz w:val="27"/>
        </w:rPr>
        <w:t>签订时间：</w:t>
      </w:r>
      <w:r>
        <w:rPr>
          <w:sz w:val="27"/>
          <w:u w:val="single"/>
        </w:rPr>
        <w:t xml:space="preserve">     </w:t>
      </w:r>
      <w:r>
        <w:rPr>
          <w:sz w:val="27"/>
          <w:u w:val="single"/>
        </w:rPr>
        <w:t>年     月     日</w:t>
      </w:r>
    </w:p>
    <w:p>
      <w:pPr>
        <w:pStyle w:val="null3"/>
        <w:ind w:firstLine="420"/>
      </w:pPr>
      <w:r>
        <w:rPr/>
        <w:t xml:space="preserve"> </w:t>
      </w:r>
    </w:p>
    <w:p>
      <w:pPr>
        <w:pStyle w:val="null3"/>
        <w:ind w:firstLine="420"/>
      </w:pPr>
      <w:r>
        <w:rPr>
          <w:sz w:val="27"/>
        </w:rPr>
        <w:t>签订地点：</w:t>
      </w:r>
      <w:r>
        <w:rPr>
          <w:sz w:val="27"/>
          <w:u w:val="single"/>
        </w:rPr>
        <w:t>广东省广州市</w:t>
      </w:r>
    </w:p>
    <w:p>
      <w:pPr>
        <w:pStyle w:val="null3"/>
        <w:ind w:firstLine="420"/>
      </w:pPr>
      <w:r>
        <w:rPr/>
        <w:t xml:space="preserve"> </w:t>
      </w:r>
    </w:p>
    <w:p>
      <w:pPr>
        <w:pStyle w:val="null3"/>
        <w:ind w:firstLine="420"/>
      </w:pPr>
      <w:r>
        <w:rPr>
          <w:sz w:val="27"/>
        </w:rPr>
        <w:t>有效期限：</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420"/>
      </w:pPr>
      <w:r>
        <w:rPr/>
        <w:t xml:space="preserve"> </w:t>
      </w:r>
    </w:p>
    <w:p>
      <w:pPr>
        <w:pStyle w:val="null3"/>
        <w:ind w:firstLine="600"/>
      </w:pPr>
      <w:r>
        <w:rPr>
          <w:sz w:val="30"/>
          <w:b/>
        </w:rPr>
        <w:t>服务合同</w:t>
      </w:r>
    </w:p>
    <w:p>
      <w:pPr>
        <w:pStyle w:val="null3"/>
        <w:ind w:firstLine="422"/>
        <w:jc w:val="both"/>
      </w:pPr>
      <w:r>
        <w:rPr>
          <w:sz w:val="24"/>
          <w:b/>
        </w:rPr>
        <w:t>甲方（采购人）：</w:t>
      </w:r>
    </w:p>
    <w:p>
      <w:pPr>
        <w:pStyle w:val="null3"/>
        <w:ind w:firstLine="420"/>
        <w:jc w:val="both"/>
      </w:pPr>
      <w:r>
        <w:rPr>
          <w:sz w:val="24"/>
        </w:rPr>
        <w:t>电话：</w:t>
      </w:r>
    </w:p>
    <w:p>
      <w:pPr>
        <w:pStyle w:val="null3"/>
        <w:ind w:firstLine="420"/>
        <w:jc w:val="both"/>
      </w:pPr>
      <w:r>
        <w:rPr>
          <w:sz w:val="24"/>
        </w:rPr>
        <w:t>传真：</w:t>
      </w:r>
    </w:p>
    <w:p>
      <w:pPr>
        <w:pStyle w:val="null3"/>
        <w:ind w:firstLine="420"/>
        <w:jc w:val="both"/>
      </w:pPr>
      <w:r>
        <w:rPr>
          <w:sz w:val="24"/>
        </w:rPr>
        <w:t>地址：</w:t>
      </w:r>
    </w:p>
    <w:p>
      <w:pPr>
        <w:pStyle w:val="null3"/>
        <w:ind w:firstLine="422"/>
        <w:jc w:val="both"/>
      </w:pPr>
      <w:r>
        <w:rPr>
          <w:sz w:val="24"/>
          <w:b/>
        </w:rPr>
        <w:t>乙方（中标人）：</w:t>
      </w:r>
    </w:p>
    <w:p>
      <w:pPr>
        <w:pStyle w:val="null3"/>
        <w:ind w:firstLine="420"/>
        <w:jc w:val="both"/>
      </w:pPr>
      <w:r>
        <w:rPr>
          <w:sz w:val="24"/>
        </w:rPr>
        <w:t>电话：</w:t>
      </w:r>
    </w:p>
    <w:p>
      <w:pPr>
        <w:pStyle w:val="null3"/>
        <w:ind w:firstLine="420"/>
        <w:jc w:val="both"/>
      </w:pPr>
      <w:r>
        <w:rPr>
          <w:sz w:val="24"/>
        </w:rPr>
        <w:t>传真：</w:t>
      </w:r>
    </w:p>
    <w:p>
      <w:pPr>
        <w:pStyle w:val="null3"/>
        <w:ind w:firstLine="420"/>
        <w:jc w:val="both"/>
      </w:pPr>
      <w:r>
        <w:rPr>
          <w:sz w:val="24"/>
        </w:rPr>
        <w:t>地址：</w:t>
      </w:r>
    </w:p>
    <w:p>
      <w:pPr>
        <w:pStyle w:val="null3"/>
        <w:ind w:firstLine="420"/>
        <w:jc w:val="both"/>
      </w:pPr>
      <w:r>
        <w:rPr>
          <w:sz w:val="24"/>
        </w:rPr>
        <w:t>根据《中华人民共和国民法典》及</w:t>
      </w:r>
      <w:r>
        <w:rPr>
          <w:sz w:val="24"/>
          <w:b/>
        </w:rPr>
        <w:t>广州市公安局番禺区分局1625台移动警务终端通信服务采购项目</w:t>
      </w:r>
      <w:r>
        <w:rPr>
          <w:sz w:val="24"/>
        </w:rPr>
        <w:t>采购文件（采购编号：GZCQC2501FG040016）招标文件的要求和招标结果，经甲乙双方协商一致，签订本合同。双方共同遵守如下条款（其他有关合同项目的特定信息由合同附件予以说明，合同附件及本项目的招标文件、投标文件、中标通知书、在实施过程中双方共同签署的补充文件等均为本合同不可分割之一部分）。</w:t>
      </w:r>
    </w:p>
    <w:p>
      <w:pPr>
        <w:pStyle w:val="null3"/>
        <w:ind w:firstLine="422"/>
        <w:jc w:val="both"/>
      </w:pPr>
      <w:r>
        <w:rPr>
          <w:sz w:val="24"/>
          <w:b/>
        </w:rPr>
        <w:t>第一条、合同金额</w:t>
      </w:r>
    </w:p>
    <w:p>
      <w:pPr>
        <w:pStyle w:val="null3"/>
        <w:ind w:firstLine="420"/>
        <w:jc w:val="both"/>
      </w:pPr>
      <w:r>
        <w:rPr>
          <w:sz w:val="24"/>
        </w:rPr>
        <w:t>合同金额为（大写）：人民币</w:t>
      </w:r>
      <w:r>
        <w:rPr>
          <w:sz w:val="24"/>
          <w:u w:val="single"/>
        </w:rPr>
        <w:t xml:space="preserve">      </w:t>
      </w:r>
      <w:r>
        <w:rPr>
          <w:sz w:val="24"/>
          <w:u w:val="single"/>
        </w:rPr>
        <w:t xml:space="preserve">      </w:t>
      </w:r>
      <w:r>
        <w:rPr>
          <w:sz w:val="24"/>
        </w:rPr>
        <w:t>元（¥</w:t>
      </w:r>
      <w:r>
        <w:rPr>
          <w:sz w:val="24"/>
          <w:u w:val="single"/>
        </w:rPr>
        <w:t xml:space="preserve">   </w:t>
      </w:r>
      <w:r>
        <w:rPr>
          <w:sz w:val="24"/>
          <w:u w:val="single"/>
        </w:rPr>
        <w:t xml:space="preserve">      </w:t>
      </w:r>
      <w:r>
        <w:rPr>
          <w:sz w:val="24"/>
          <w:u w:val="single"/>
        </w:rPr>
        <w:t xml:space="preserve">   </w:t>
      </w:r>
      <w:r>
        <w:rPr>
          <w:sz w:val="24"/>
        </w:rPr>
        <w:t>）。</w:t>
      </w:r>
    </w:p>
    <w:p>
      <w:pPr>
        <w:pStyle w:val="null3"/>
        <w:ind w:firstLine="420"/>
        <w:jc w:val="both"/>
      </w:pPr>
      <w:r>
        <w:rPr>
          <w:sz w:val="24"/>
        </w:rPr>
        <w:t>合同总额应以人民币为结算单位（含税），合同总额须包括：包含人员费、套餐租赁、技术费、税费、代理服务费、验收合格交付使用之前以及售后服务等其他各项有关费用。甲方除了按合同总额为计算单位向乙方支付货款外，无须向乙方支付其他任何费用。</w:t>
      </w:r>
    </w:p>
    <w:p>
      <w:pPr>
        <w:pStyle w:val="null3"/>
        <w:ind w:firstLine="422"/>
        <w:jc w:val="both"/>
      </w:pPr>
      <w:r>
        <w:rPr>
          <w:sz w:val="24"/>
          <w:b/>
        </w:rPr>
        <w:t>第二条、基本情况</w:t>
      </w:r>
    </w:p>
    <w:p>
      <w:pPr>
        <w:pStyle w:val="null3"/>
        <w:ind w:firstLine="422"/>
        <w:jc w:val="both"/>
      </w:pPr>
      <w:r>
        <w:rPr>
          <w:sz w:val="24"/>
          <w:b/>
        </w:rPr>
        <w:t>（一）项目背景</w:t>
      </w:r>
    </w:p>
    <w:p>
      <w:pPr>
        <w:pStyle w:val="null3"/>
        <w:ind w:firstLine="420"/>
        <w:jc w:val="both"/>
      </w:pPr>
      <w:r>
        <w:rPr>
          <w:sz w:val="24"/>
        </w:rPr>
        <w:t>广州市公安局番禺区分局移动警务通信服务采购项目（1625套），将在2025年6月30日到期。</w:t>
      </w:r>
    </w:p>
    <w:p>
      <w:pPr>
        <w:pStyle w:val="null3"/>
        <w:ind w:firstLine="420"/>
        <w:jc w:val="both"/>
      </w:pPr>
      <w:r>
        <w:rPr>
          <w:sz w:val="24"/>
        </w:rPr>
        <w:t>按照全省智慧新警务的整体部署，为保证广州市公安局番禺区分局移动警务系统日常使用，现计划开展移动警务通信服务运维采购项目，对1625套MDM的运维服务进行采购，并采购1625套移动警务通信套餐。</w:t>
      </w:r>
    </w:p>
    <w:p>
      <w:pPr>
        <w:pStyle w:val="null3"/>
        <w:ind w:firstLine="422"/>
        <w:jc w:val="both"/>
      </w:pPr>
      <w:r>
        <w:rPr>
          <w:sz w:val="24"/>
          <w:b/>
        </w:rPr>
        <w:t>（二）项目主要工作与内容</w:t>
      </w:r>
    </w:p>
    <w:p>
      <w:pPr>
        <w:pStyle w:val="null3"/>
        <w:ind w:firstLine="420"/>
        <w:jc w:val="both"/>
      </w:pPr>
      <w:r>
        <w:rPr>
          <w:sz w:val="24"/>
        </w:rPr>
        <w:t>乙方须在服务期限内按要求提供以下服务：</w:t>
      </w:r>
    </w:p>
    <w:tbl>
      <w:tblPr>
        <w:tblW w:w="0" w:type="auto"/>
        <w:tblBorders>
          <w:top w:val="single"/>
          <w:left w:val="single"/>
          <w:bottom w:val="single"/>
          <w:right w:val="single"/>
          <w:insideH w:val="single"/>
          <w:insideV w:val="single"/>
        </w:tblBorders>
      </w:tblPr>
      <w:tblGrid>
        <w:gridCol w:w="593"/>
        <w:gridCol w:w="1780"/>
        <w:gridCol w:w="763"/>
        <w:gridCol w:w="2627"/>
        <w:gridCol w:w="2543"/>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内容</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262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备注</w:t>
            </w:r>
          </w:p>
        </w:tc>
        <w:tc>
          <w:tcPr>
            <w:tcW w:type="dxa" w:w="254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服务期限</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移动警务通信套餐</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725套</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提供725套移动警务通信套餐</w:t>
            </w:r>
          </w:p>
        </w:tc>
        <w:tc>
          <w:tcPr>
            <w:tcW w:type="dxa" w:w="2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自服务期起算之日起12个月（乙方要求在2025年7月1日前完成警务应用语音流量套餐、MDM等所有服务内容。确保语音流量套餐和MDM的无缝过渡及正常运行。完成上述内容后，由甲方组织验收，验收合格之次日起开始计算服务期和租金。）</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终端管控软件（MDM）服务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725套</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提供移动警务终端管理软件及部署承载后台管控平台的相关服务器硬件、网络环境及系统软件环境</w:t>
            </w:r>
          </w:p>
        </w:tc>
        <w:tc>
          <w:tcPr>
            <w:tcW w:type="dxa" w:w="2543"/>
            <w:vMerge/>
            <w:tcBorders>
              <w:top w:val="none" w:color="000000" w:sz="4"/>
              <w:left w:val="none" w:color="000000" w:sz="4"/>
              <w:bottom w:val="single" w:color="000000" w:sz="4"/>
              <w:right w:val="single" w:color="000000" w:sz="4"/>
            </w:tcBorders>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移动警务通信套餐</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900套</w:t>
            </w: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提供900套移动警务通信套餐</w:t>
            </w:r>
          </w:p>
        </w:tc>
        <w:tc>
          <w:tcPr>
            <w:tcW w:type="dxa" w:w="2543"/>
            <w:vMerge/>
            <w:tcBorders>
              <w:top w:val="none" w:color="000000" w:sz="4"/>
              <w:left w:val="none" w:color="000000" w:sz="4"/>
              <w:bottom w:val="single" w:color="000000" w:sz="4"/>
              <w:right w:val="single" w:color="000000" w:sz="4"/>
            </w:tcBorders>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安全智能贴膜卡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900套</w:t>
            </w:r>
          </w:p>
        </w:tc>
        <w:tc>
          <w:tcPr>
            <w:tcW w:type="dxa" w:w="26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提供安全智能贴膜卡授权、移动警务终端管理软件及部署承载后台管控平台的相关服务器硬件、网络环境及系统软件环境</w:t>
            </w:r>
          </w:p>
        </w:tc>
        <w:tc>
          <w:tcPr>
            <w:tcW w:type="dxa" w:w="2543"/>
            <w:vMerge/>
            <w:tcBorders>
              <w:top w:val="none" w:color="000000" w:sz="4"/>
              <w:left w:val="none" w:color="000000" w:sz="4"/>
              <w:bottom w:val="single" w:color="000000" w:sz="4"/>
              <w:right w:val="single" w:color="000000" w:sz="4"/>
            </w:tcBorders>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终端管控软件（MDM）服务</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900套</w:t>
            </w:r>
          </w:p>
        </w:tc>
        <w:tc>
          <w:tcPr>
            <w:tcW w:type="dxa" w:w="2627"/>
            <w:vMerge/>
            <w:tcBorders>
              <w:top w:val="none" w:color="000000" w:sz="4"/>
              <w:left w:val="none" w:color="000000" w:sz="4"/>
              <w:bottom w:val="single" w:color="000000" w:sz="4"/>
              <w:right w:val="single" w:color="000000" w:sz="4"/>
            </w:tcBorders>
          </w:tcPr>
          <w:p/>
        </w:tc>
        <w:tc>
          <w:tcPr>
            <w:tcW w:type="dxa" w:w="2543"/>
            <w:vMerge/>
            <w:tcBorders>
              <w:top w:val="none" w:color="000000" w:sz="4"/>
              <w:left w:val="none" w:color="000000" w:sz="4"/>
              <w:bottom w:val="single" w:color="000000" w:sz="4"/>
              <w:right w:val="single" w:color="000000" w:sz="4"/>
            </w:tcBorders>
          </w:tcPr>
          <w:p/>
        </w:tc>
      </w:tr>
    </w:tbl>
    <w:p>
      <w:pPr>
        <w:pStyle w:val="null3"/>
        <w:ind w:firstLine="422"/>
        <w:jc w:val="both"/>
      </w:pPr>
      <w:r>
        <w:rPr>
          <w:sz w:val="24"/>
          <w:b/>
        </w:rPr>
        <w:t>第三条、具体要求</w:t>
      </w:r>
    </w:p>
    <w:p>
      <w:pPr>
        <w:pStyle w:val="null3"/>
        <w:ind w:firstLine="422"/>
      </w:pPr>
      <w:r>
        <w:rPr>
          <w:sz w:val="24"/>
          <w:b/>
        </w:rPr>
        <w:t>1.移动警务通信套餐要求</w:t>
      </w:r>
    </w:p>
    <w:p>
      <w:pPr>
        <w:pStyle w:val="null3"/>
        <w:ind w:firstLine="420"/>
        <w:jc w:val="both"/>
      </w:pPr>
      <w:r>
        <w:rPr>
          <w:sz w:val="24"/>
        </w:rPr>
        <w:t>乙方需提供1625套移动警务通信套餐。</w:t>
      </w:r>
    </w:p>
    <w:p>
      <w:pPr>
        <w:pStyle w:val="null3"/>
        <w:ind w:firstLine="420"/>
        <w:jc w:val="both"/>
      </w:pPr>
      <w:r>
        <w:rPr>
          <w:sz w:val="24"/>
        </w:rPr>
        <w:t>1）725套移动警务套餐包括：每月不少于800分钟国内通话，全国接听免费；每月不少于10G全国互联网上网流量；每月不少于30G公安专网上网流量。</w:t>
      </w:r>
    </w:p>
    <w:p>
      <w:pPr>
        <w:pStyle w:val="null3"/>
        <w:ind w:firstLine="420"/>
        <w:jc w:val="both"/>
      </w:pPr>
      <w:r>
        <w:rPr>
          <w:sz w:val="24"/>
        </w:rPr>
        <w:t>2）900套移动警务套餐包括：每月不少于800分钟国内通话，全国接听免费；每月不少于30G全国互联网上网流量；每月不少于30G公安专网上网流量。900套移动终端VPMN集群网互打免费。</w:t>
      </w:r>
    </w:p>
    <w:p>
      <w:pPr>
        <w:pStyle w:val="null3"/>
        <w:ind w:firstLine="420"/>
        <w:jc w:val="both"/>
      </w:pPr>
      <w:r>
        <w:rPr>
          <w:sz w:val="24"/>
        </w:rPr>
        <w:t>3）1625套套餐要求保留现有在用号码，如需携号转网，由乙方负责办理相关手续，并承诺转网期间网络通信服务无缝过渡，携号转网所产生的费用已包含在合同价中，甲方不再另行支付费用。</w:t>
      </w:r>
    </w:p>
    <w:p>
      <w:pPr>
        <w:pStyle w:val="null3"/>
        <w:ind w:firstLine="422"/>
      </w:pPr>
      <w:r>
        <w:rPr>
          <w:sz w:val="24"/>
          <w:b/>
        </w:rPr>
        <w:t>2.移动警务通信网络要求</w:t>
      </w:r>
    </w:p>
    <w:p>
      <w:pPr>
        <w:pStyle w:val="null3"/>
        <w:ind w:firstLine="420"/>
        <w:jc w:val="both"/>
      </w:pPr>
      <w:r>
        <w:rPr>
          <w:sz w:val="24"/>
        </w:rPr>
        <w:t>移动警务终端在进行数据传输时，利用移动互联技术接入5G/4G无线网络中的服务提供节点。在满足基于互联网数据传输的基础上，还需根据甲方要求，在甲方不另外支付费用的前提下随时实现：该节点保障只有合法授权的专网用户才能通过移动网络接入番禺区公安内网，同时保证在合法授权的专网用户和番禺区公安内网内部服务器间传送的数据包不被黑客从公网非法截取，要求通过安全通道接入网络运营商路由器。</w:t>
      </w:r>
    </w:p>
    <w:p>
      <w:pPr>
        <w:pStyle w:val="null3"/>
        <w:ind w:left="420"/>
        <w:jc w:val="both"/>
      </w:pPr>
      <w:r>
        <w:rPr>
          <w:sz w:val="24"/>
        </w:rPr>
        <w:t>（1）网络总体要求</w:t>
      </w:r>
    </w:p>
    <w:p>
      <w:pPr>
        <w:pStyle w:val="null3"/>
        <w:ind w:firstLine="420"/>
        <w:jc w:val="both"/>
      </w:pPr>
      <w:r>
        <w:rPr>
          <w:sz w:val="24"/>
        </w:rPr>
        <w:t>全网络采用4G无线技术，使移动终端从接入点到番禺区公安内网接入设备之间使用4G网络，数据在4G网络中传输，即为移动终端提供基于4G的专网接入服务。</w:t>
      </w:r>
    </w:p>
    <w:p>
      <w:pPr>
        <w:pStyle w:val="null3"/>
        <w:ind w:firstLine="420"/>
        <w:jc w:val="both"/>
      </w:pPr>
      <w:r>
        <w:rPr>
          <w:sz w:val="24"/>
        </w:rPr>
        <w:t>乙方在番禺区辖内所提供的5G/4G网络服务需满足甲方移动警务办公需求，登录访问广州市公安局警务综合管理应用平台服务器的响应时间不高于300ms，平均下行速度不低于1000KBps，平均上行速度不低于500KBps。</w:t>
      </w:r>
    </w:p>
    <w:p>
      <w:pPr>
        <w:pStyle w:val="null3"/>
        <w:ind w:left="420"/>
        <w:jc w:val="both"/>
      </w:pPr>
      <w:r>
        <w:rPr>
          <w:sz w:val="24"/>
        </w:rPr>
        <w:t>（2）网络优化及应急备份网络需求</w:t>
      </w:r>
    </w:p>
    <w:p>
      <w:pPr>
        <w:pStyle w:val="null3"/>
        <w:ind w:firstLine="420"/>
        <w:jc w:val="both"/>
      </w:pPr>
      <w:r>
        <w:rPr>
          <w:sz w:val="24"/>
        </w:rPr>
        <w:t>在无5G/4G信号区域可自动切换至3G或2G网络使用，在网络信号不佳的使用环境，乙方应承诺提供网络优化的服务；对甲方在番禺区的办公场所，以及各派出单位，临时检查站等单位，网络信号不佳的，应承诺完成包含现场施工手段在内的信号加强与网络优化服务。</w:t>
      </w:r>
    </w:p>
    <w:p>
      <w:pPr>
        <w:pStyle w:val="null3"/>
        <w:ind w:left="420"/>
        <w:jc w:val="both"/>
      </w:pPr>
      <w:r>
        <w:rPr>
          <w:sz w:val="24"/>
        </w:rPr>
        <w:t>（3）无线网安全性需求</w:t>
      </w:r>
    </w:p>
    <w:p>
      <w:pPr>
        <w:pStyle w:val="null3"/>
        <w:ind w:firstLine="420"/>
        <w:jc w:val="both"/>
      </w:pPr>
      <w:r>
        <w:rPr>
          <w:sz w:val="24"/>
        </w:rPr>
        <w:t>由乙方负责相关的网络安全解决方案，应承诺确保网络安全，符合国家相关网络安全管理法规要求；使用5G/4G无线宽带的公众用户不会对番禺区公安内网的用户和业务系统进行干扰。</w:t>
      </w:r>
    </w:p>
    <w:p>
      <w:pPr>
        <w:pStyle w:val="null3"/>
        <w:ind w:left="420"/>
        <w:jc w:val="both"/>
      </w:pPr>
      <w:r>
        <w:rPr>
          <w:sz w:val="24"/>
        </w:rPr>
        <w:t>（4）无线专网数据配置服务</w:t>
      </w:r>
    </w:p>
    <w:p>
      <w:pPr>
        <w:pStyle w:val="null3"/>
        <w:ind w:firstLine="420"/>
        <w:jc w:val="both"/>
      </w:pPr>
      <w:r>
        <w:rPr>
          <w:sz w:val="24"/>
        </w:rPr>
        <w:t>提供无线专网数据配置服务，确保各移动终端使用基于5G/4G高速分组数据网络，利用隧道技术构建与公众互联网隔离的虚拟专用网络。各移动终端通过无线专用网络安全地访问番禺区公安警务管理应用系统。通过编码技术、网络层的加密以及采用口令保护、身份验证、权限设置等措施，保证数据的完整性、避免被非法窃取区公安警务管理服务系统数据。</w:t>
      </w:r>
    </w:p>
    <w:p>
      <w:pPr>
        <w:pStyle w:val="null3"/>
        <w:ind w:firstLine="420"/>
        <w:jc w:val="both"/>
      </w:pPr>
      <w:r>
        <w:rPr>
          <w:sz w:val="24"/>
        </w:rPr>
        <w:t>（5）本项目移动警务终端所提供的网络资源覆盖，无线通信网络频宽总和≥300MHz。</w:t>
      </w:r>
    </w:p>
    <w:p>
      <w:pPr>
        <w:pStyle w:val="null3"/>
        <w:ind w:firstLine="422"/>
      </w:pPr>
      <w:r>
        <w:rPr>
          <w:sz w:val="24"/>
          <w:b/>
        </w:rPr>
        <w:t>3.终端管控软件（MDM）服务要求</w:t>
      </w:r>
    </w:p>
    <w:p>
      <w:pPr>
        <w:pStyle w:val="null3"/>
        <w:ind w:firstLine="420"/>
        <w:jc w:val="both"/>
      </w:pPr>
      <w:r>
        <w:rPr>
          <w:sz w:val="24"/>
        </w:rPr>
        <w:t>定制1625套移动警务终端管理软件及部署承载后台管控平台的相关服务器硬件、网络环境及系统软件环境。</w:t>
      </w:r>
    </w:p>
    <w:p>
      <w:pPr>
        <w:pStyle w:val="null3"/>
        <w:ind w:firstLine="420"/>
        <w:jc w:val="both"/>
      </w:pPr>
      <w:r>
        <w:rPr>
          <w:sz w:val="24"/>
        </w:rPr>
        <w:t>满足不少于1625台移动警务终端集中管理的后台管控平台，后台管控平台能支持对终端双系统并行管控。</w:t>
      </w:r>
    </w:p>
    <w:tbl>
      <w:tblPr>
        <w:tblW w:w="0" w:type="auto"/>
        <w:tblBorders>
          <w:top w:val="single"/>
          <w:left w:val="single"/>
          <w:bottom w:val="single"/>
          <w:right w:val="single"/>
          <w:insideH w:val="single"/>
          <w:insideV w:val="single"/>
        </w:tblBorders>
      </w:tblPr>
      <w:tblGrid>
        <w:gridCol w:w="1018"/>
        <w:gridCol w:w="1329"/>
        <w:gridCol w:w="1866"/>
        <w:gridCol w:w="2432"/>
        <w:gridCol w:w="1661"/>
      </w:tblGrid>
      <w:tr>
        <w:tc>
          <w:tcPr>
            <w:tcW w:type="dxa" w:w="101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序号</w:t>
            </w:r>
          </w:p>
        </w:tc>
        <w:tc>
          <w:tcPr>
            <w:tcW w:type="dxa" w:w="132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功能模块</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功能列表</w:t>
            </w:r>
          </w:p>
        </w:tc>
        <w:tc>
          <w:tcPr>
            <w:tcW w:type="dxa" w:w="243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功能细则</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功能描述</w:t>
            </w:r>
          </w:p>
        </w:tc>
      </w:tr>
      <w:tr>
        <w:tc>
          <w:tcPr>
            <w:tcW w:type="dxa" w:w="10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1</w:t>
            </w:r>
          </w:p>
        </w:tc>
        <w:tc>
          <w:tcPr>
            <w:tcW w:type="dxa" w:w="1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人员组织管理</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组织管理</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人员组织结构创建、修改、删除、查询功能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可以根据用户的组织结构进行手工或者导入方式创建无限层级的组织结构数据，并提供修改、删除、查询功能</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人员管理</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人员上传</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可以手工或者批量导入人员姓名、部门等信息</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人员维护</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人员的增、改、查、批量导入，绑定人员和IMSI信息</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人员管理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基于警综的人员架构进行部署，如果人员调动了，自动推送人员当前部门相关管理策略和应用，并删除之前部门应用</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分组管理</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对人员进行分组</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除可根据组织机构的方式进行管理外，平台还可为根据管理要求对跨组织部门的人员创建分组，并可以对分组分配所有管理策略。</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权限管理</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为组织或者分组创建管理员</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可以为任意一级组织或者分组设定管理员</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管理员权限设置</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可以为上述任一管理员进行管理权限分配</w:t>
            </w:r>
          </w:p>
        </w:tc>
      </w:tr>
      <w:tr>
        <w:tc>
          <w:tcPr>
            <w:tcW w:type="dxa" w:w="10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2</w:t>
            </w:r>
          </w:p>
        </w:tc>
        <w:tc>
          <w:tcPr>
            <w:tcW w:type="dxa" w:w="1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安装管理</w:t>
            </w: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注册管理</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预注册</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可在后台通过批量导入用户信息和终端IMEI、SIM卡IMSI等信息</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自注册</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终端使用者自行通过输入服务器地址、用户名（警员信息等）进行注册并且激活</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管控安装</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预安装</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支持将管控软件内置于终端系统内</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自安装</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可输入网址进行下载与安装管控软件</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激活管理</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终端激活</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设备安装客户端并插入SIM卡，通过扫描注册二维码即可完成注册激活</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初始化策略执行生效</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终端激活后自动生效用户归属的部门或者分组的管理策略，并自动安装被分配必须安装的软件</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网络可用</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安全客户端兼容与保活</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支持安全客户端进程保活，同时确保管控系统开启情况下不影响网络的通畅性</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禁止网络热点共享</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禁止通过USB网络分享、蓝牙网络分享以及热点分享功能</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升级管理</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需支持平滑安装管控软件</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预安装、自安装、激活及升级管控软件时，需保证数据不丢失，且升级后应用可正常使用</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配合进行管控系统安装</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确保每台移动设备可正常安装并激活使用，且不得影响其他应用的正常使用</w:t>
            </w:r>
          </w:p>
        </w:tc>
      </w:tr>
      <w:tr>
        <w:tc>
          <w:tcPr>
            <w:tcW w:type="dxa" w:w="10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3</w:t>
            </w:r>
          </w:p>
        </w:tc>
        <w:tc>
          <w:tcPr>
            <w:tcW w:type="dxa" w:w="1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设备管理</w:t>
            </w: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外设端口管控</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WiFi与移动数据连接</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WiFi 与移动数据连接的功能远程开启/禁用</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飞行模式管理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管理平台可以远程设置飞行模式的开启/关闭</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NFC连接管理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管理平台可以远程设置NFC功能的开启/关闭</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蓝牙连接管理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管理平台可以远程设置蓝牙的开启/关闭</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USB、文件管理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USB、文件管理功能开启/禁用</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开发者调试模式管理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管理平台可以下发指令禁止/开启开发者调试模式</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机卡绑定锁机策略管理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SIM卡与绑定手机分开时锁机功能可设置开启/关闭</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摄像头、麦克风</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摄像头、麦克风功能开启/禁用</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截屏、录屏功能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截图、录屏功能可开启或禁止</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设备管控</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禁止修改终端时间</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禁止用户手工修改终端的系统时间</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时间同步机制</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终端以后台服务器时间为基准，自动同步较正终端时间</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端到端管理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管理员可以通过手机对自己管理权限范围内的终端设备进行管理，包括锁定设备、寻找设备、盘点设备、设定设备可用等功能</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远程协助</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管理员通过管控平台对终端发起远程协助，终端接受许可后，管理员在管控PC上可以远程接管该终端安全工作系统的界面</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蓝牙配对白名单</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白名单内的蓝牙设备，终端允许连接，白名单外的蓝牙设备，终端禁止连接</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文件管理</w:t>
            </w:r>
          </w:p>
        </w:tc>
        <w:tc>
          <w:tcPr>
            <w:tcW w:type="dxa" w:w="24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终端文件管理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支持单个或批量下发文档、图片、音频或视频等格式的文件</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none" w:color="000000" w:sz="4"/>
              <w:right w:val="single" w:color="000000" w:sz="4"/>
            </w:tcBorders>
          </w:tcPr>
          <w:p/>
        </w:tc>
        <w:tc>
          <w:tcPr>
            <w:tcW w:type="dxa" w:w="2432"/>
            <w:vMerge/>
            <w:tcBorders>
              <w:top w:val="none" w:color="000000" w:sz="4"/>
              <w:left w:val="none" w:color="000000" w:sz="4"/>
              <w:bottom w:val="single" w:color="000000" w:sz="4"/>
              <w:right w:val="single" w:color="000000" w:sz="4"/>
            </w:tcBorders>
          </w:tcP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支持单个或批量删除文档、图片、音频或视频等格式的文件</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丢失管理</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定位及轨迹管理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系统可强制开启用户端GPS或者北斗定位功能，可获得基站定位，可以实时精准定位终端位置，并对轨迹进行记录，管理员通过管理平台可以查看轨迹信息，轨迹信息默认保存一周，可配置。</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singl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远程锁机</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通过管理平台可以远程下发指令对终端进行锁机</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singl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终端丢失</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终端发生丢失时支持擦除终端数据、格式化内置与外置存储</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singl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手机注销</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支持注销手机管理，注销后手机结束管理状态，清空管理指令</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singl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终端解绑</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支持解绑替换用户、替换安全卡、替换SIM卡等</w:t>
            </w:r>
          </w:p>
        </w:tc>
      </w:tr>
      <w:tr>
        <w:tc>
          <w:tcPr>
            <w:tcW w:type="dxa" w:w="10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4</w:t>
            </w:r>
          </w:p>
        </w:tc>
        <w:tc>
          <w:tcPr>
            <w:tcW w:type="dxa" w:w="1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应用管理</w:t>
            </w: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应用管理</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应用白名单</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平台支持应用白名单，支持增、删、改、查、导入操作，客户端仅允许白名单中的应用可以下载安装并使用，禁止手机使用白名单外的应用</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应用红名单</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平台支持应用红名单，支持增、删、改、查、导入操作，对终端上未安装的红名单应用进行自动下载及后台静默安装</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应用安装</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平台支持对移动终端下发策略实现应用自动下载、并静默/强制安装</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应用安装功能限制</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当限制安装功能时，手机上所有的软件安装包均无法执行安装</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应用卸载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手动卸载：用户可手动卸载不需要使用的应用；静默卸载：管理员可以通过管理平台下发策略，远程静默卸载终端上指定的应用</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应用卸载功能限制</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当限制卸载功能时，所安装的指定应用均无法卸载</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应用更新</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终端定时检测新应用发布信息，提醒用户新版本软件更新信息，并可自动下载、并静默/强制更新</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应用商店后台功能</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应用上传</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应用上传可以指定管理员实施，上传时需提供时应用相关信息，包括应用版本信息、应用名称、应用类型、应用介绍、应用图片信息。</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应用取消分配</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管理员取消应用分配后，终端上的应用商店中该应用不再展现</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应用分类</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对上传的介质进行分类，方便查找和管理，可根据需求自由分类</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禁用/允许系统自带应用商店</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禁止/允许使用系统自带应用商店</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应用商店前端功能</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应用商店基本功能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支持在设备上的应用商店客户端获取允许该设备/用户可安装列表；支持按名称查询；支持查看具体应用介绍</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软件下载功能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保证客户端连接合法情况下，支持应用安装包断点续传。在下载失败后需要应提示用户重新下载</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应用商城防卸载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产品支持客户端卸载保护机制，用户在界面上无法卸载客户端，管理员卸载客户端应用程序需要通过输入卸载密码或通过管理中心指令卸载。</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应用下载失败恢复处理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系统支持当客户端应用下载失败后通过断点续传继续下载，直到下载完成</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更新通知方式</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支持开启/关闭通过应用商店管理端对移动设备进行更新通知</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通知信息下发</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支持后台对单台、批量终端下发提示信息或文本通知</w:t>
            </w:r>
          </w:p>
        </w:tc>
      </w:tr>
      <w:tr>
        <w:tc>
          <w:tcPr>
            <w:tcW w:type="dxa" w:w="1018"/>
            <w:vMerge w:val="restart"/>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sz w:val="24"/>
              </w:rPr>
              <w:t>5</w:t>
            </w:r>
          </w:p>
        </w:tc>
        <w:tc>
          <w:tcPr>
            <w:tcW w:type="dxa" w:w="1329"/>
            <w:vMerge w:val="restart"/>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sz w:val="24"/>
              </w:rPr>
              <w:t>安全管理</w:t>
            </w: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设备安全</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全设备擦除</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通过管理平台下发指令可以远程对终端进行全设备擦除，擦除后的终端恢复为出厂设置状态</w:t>
            </w:r>
          </w:p>
        </w:tc>
      </w:tr>
      <w:tr>
        <w:tc>
          <w:tcPr>
            <w:tcW w:type="dxa" w:w="1018"/>
            <w:vMerge/>
            <w:tcBorders>
              <w:top w:val="none" w:color="000000" w:sz="4"/>
              <w:left w:val="single" w:color="000000" w:sz="4"/>
              <w:bottom w:val="none" w:color="000000" w:sz="4"/>
              <w:right w:val="single" w:color="000000" w:sz="4"/>
            </w:tcBorders>
          </w:tcPr>
          <w:p/>
        </w:tc>
        <w:tc>
          <w:tcPr>
            <w:tcW w:type="dxa" w:w="1329"/>
            <w:vMerge/>
            <w:tcBorders>
              <w:top w:val="none" w:color="000000" w:sz="4"/>
              <w:left w:val="none" w:color="000000" w:sz="4"/>
              <w:bottom w:val="non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密码远程设置或修改</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通过管理平台可以远程下发指令对终端登陆密码进行设置或修改，终端接受指令后会被更新密码并锁屏要求重新输入密码验证</w:t>
            </w:r>
          </w:p>
        </w:tc>
      </w:tr>
      <w:tr>
        <w:tc>
          <w:tcPr>
            <w:tcW w:type="dxa" w:w="1018"/>
            <w:vMerge/>
            <w:tcBorders>
              <w:top w:val="none" w:color="000000" w:sz="4"/>
              <w:left w:val="single" w:color="000000" w:sz="4"/>
              <w:bottom w:val="none" w:color="000000" w:sz="4"/>
              <w:right w:val="single" w:color="000000" w:sz="4"/>
            </w:tcBorders>
          </w:tcPr>
          <w:p/>
        </w:tc>
        <w:tc>
          <w:tcPr>
            <w:tcW w:type="dxa" w:w="1329"/>
            <w:vMerge/>
            <w:tcBorders>
              <w:top w:val="none" w:color="000000" w:sz="4"/>
              <w:left w:val="none" w:color="000000" w:sz="4"/>
              <w:bottom w:val="non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清除密码</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通过管理平台可以远程下发指令对终端登陆密码进行清除，终端接受指令后锁屏密码被设置为指定</w:t>
            </w:r>
          </w:p>
        </w:tc>
      </w:tr>
      <w:tr>
        <w:tc>
          <w:tcPr>
            <w:tcW w:type="dxa" w:w="1018"/>
            <w:vMerge/>
            <w:tcBorders>
              <w:top w:val="none" w:color="000000" w:sz="4"/>
              <w:left w:val="single" w:color="000000" w:sz="4"/>
              <w:bottom w:val="none" w:color="000000" w:sz="4"/>
              <w:right w:val="single" w:color="000000" w:sz="4"/>
            </w:tcBorders>
          </w:tcPr>
          <w:p/>
        </w:tc>
        <w:tc>
          <w:tcPr>
            <w:tcW w:type="dxa" w:w="1329"/>
            <w:vMerge/>
            <w:tcBorders>
              <w:top w:val="none" w:color="000000" w:sz="4"/>
              <w:left w:val="none" w:color="000000" w:sz="4"/>
              <w:bottom w:val="non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离线密码</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客户端和后台使用同一套算法生成动态离线密码，以避免网络无法连接导致设备锁定后无法解锁。</w:t>
            </w:r>
          </w:p>
        </w:tc>
      </w:tr>
      <w:tr>
        <w:tc>
          <w:tcPr>
            <w:tcW w:type="dxa" w:w="1018"/>
            <w:vMerge/>
            <w:tcBorders>
              <w:top w:val="none" w:color="000000" w:sz="4"/>
              <w:left w:val="single" w:color="000000" w:sz="4"/>
              <w:bottom w:val="none" w:color="000000" w:sz="4"/>
              <w:right w:val="single" w:color="000000" w:sz="4"/>
            </w:tcBorders>
          </w:tcPr>
          <w:p/>
        </w:tc>
        <w:tc>
          <w:tcPr>
            <w:tcW w:type="dxa" w:w="1329"/>
            <w:vMerge/>
            <w:tcBorders>
              <w:top w:val="none" w:color="000000" w:sz="4"/>
              <w:left w:val="none" w:color="000000" w:sz="4"/>
              <w:bottom w:val="non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机卡绑定</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可对某台或批量终端的IMEI、SIM卡和安全智能薄膜卡进行绑定，一旦移动将被锁机</w:t>
            </w:r>
          </w:p>
        </w:tc>
      </w:tr>
      <w:tr>
        <w:tc>
          <w:tcPr>
            <w:tcW w:type="dxa" w:w="1018"/>
            <w:vMerge/>
            <w:tcBorders>
              <w:top w:val="none" w:color="000000" w:sz="4"/>
              <w:left w:val="single" w:color="000000" w:sz="4"/>
              <w:bottom w:val="none" w:color="000000" w:sz="4"/>
              <w:right w:val="single" w:color="000000" w:sz="4"/>
            </w:tcBorders>
          </w:tcPr>
          <w:p/>
        </w:tc>
        <w:tc>
          <w:tcPr>
            <w:tcW w:type="dxa" w:w="1329"/>
            <w:vMerge/>
            <w:tcBorders>
              <w:top w:val="none" w:color="000000" w:sz="4"/>
              <w:left w:val="none" w:color="000000" w:sz="4"/>
              <w:bottom w:val="non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异常管理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当检测到终端被Root后，终端将进行锁机、擦除等等管理，且管理指令无论是在网或者离线状态下都会生效执行。</w:t>
            </w:r>
          </w:p>
        </w:tc>
      </w:tr>
      <w:tr>
        <w:tc>
          <w:tcPr>
            <w:tcW w:type="dxa" w:w="101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6</w:t>
            </w:r>
          </w:p>
        </w:tc>
        <w:tc>
          <w:tcPr>
            <w:tcW w:type="dxa" w:w="132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资产管理</w:t>
            </w: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硬件资产</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终端厂商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后台管控平台可以查看终端的厂商名字</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终端型号</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后台管控平台可以查看终端的型号</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CPU型号</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后台管控平台可以查看终端的CPU型号</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CPU使用率</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后台管控平台可以查看终端的CPU使用率</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运行内存容量</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后台管控平台可以查看终端的运行内存容量</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内部存储容量</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后台管控平台可以查看终端的内部存储容量</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内部存储使用率</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后台管控平台可以查看终端的内部存储使用率</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电池电量信息</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后台管控平台可以查看终端的电池电量信息</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序列号</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后台管控平台可以查看终端的设备序列号IMEI</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软件资产</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软件资产管理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后台管控平台可以查看终端的软件名称、包名、版本号、软件大小、是否系统应用、是否白名单应用、安装时间、上报时间</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操作系统版本</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后台管控平台可以查看终端的操作系统版本号</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状态管理</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手机信息查询</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后台管控平台可以查看终端的手机号码、用户名称、所属部门、手机状态、是否在线、是否Root、是否外出、是否失联、最后连接时间等信息</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查看设备上各功能状态</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后台管控平台可以查看终端被后台管理平台禁用/启用的功能及状态</w:t>
            </w:r>
          </w:p>
        </w:tc>
      </w:tr>
      <w:tr>
        <w:tc>
          <w:tcPr>
            <w:tcW w:type="dxa" w:w="1018"/>
            <w:vMerge/>
            <w:tcBorders>
              <w:top w:val="single" w:color="000000" w:sz="4"/>
              <w:left w:val="single" w:color="000000" w:sz="4"/>
              <w:bottom w:val="single" w:color="000000" w:sz="4"/>
              <w:right w:val="single" w:color="000000" w:sz="4"/>
            </w:tcBorders>
          </w:tcPr>
          <w:p/>
        </w:tc>
        <w:tc>
          <w:tcPr>
            <w:tcW w:type="dxa" w:w="1329"/>
            <w:vMerge/>
            <w:tcBorders>
              <w:top w:val="singl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资产报表与统计</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后台管控平台可以查看导出终端状态、应用安装统计数</w:t>
            </w:r>
          </w:p>
        </w:tc>
      </w:tr>
      <w:tr>
        <w:tc>
          <w:tcPr>
            <w:tcW w:type="dxa" w:w="10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7</w:t>
            </w:r>
          </w:p>
        </w:tc>
        <w:tc>
          <w:tcPr>
            <w:tcW w:type="dxa" w:w="1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围栏管理</w:t>
            </w: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围栏管理</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时间围栏</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可配置时间围栏的管理动作，当手机到达设定的时间自动触发执行时间围栏配置的管理，（时区变化后时区矫正，自动更新，时区策略）</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地理围栏</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可配置地理围栏的管理动作（围栏内或者围栏外），当手机在指定的地理位置时自动触发执行地理围栏配置的管理</w:t>
            </w:r>
          </w:p>
        </w:tc>
      </w:tr>
      <w:tr>
        <w:tc>
          <w:tcPr>
            <w:tcW w:type="dxa" w:w="10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8</w:t>
            </w:r>
          </w:p>
        </w:tc>
        <w:tc>
          <w:tcPr>
            <w:tcW w:type="dxa" w:w="132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强壮性管理</w:t>
            </w:r>
          </w:p>
        </w:tc>
        <w:tc>
          <w:tcPr>
            <w:tcW w:type="dxa" w:w="18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强壮性管理</w:t>
            </w: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管控软件防卸载</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产品支持管控客户端卸载保护机制，用户无法卸载客户端。管理员卸载客户端应用程序需要通过输入卸载密码或通过管理中心指令卸载</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防止恢复出厂（增强受控终端）</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恢复出厂设置后不进行注册无法使用</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管控软件系统权限保活</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系统清理内存模式下、低电量模式下、息屏后台进程清理情况下管控软件进程依然保活</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能耗管理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在终端必要系统软件正常运行情况下，安装并激活终端管控app，平均每小时耗电增加不超过20毫安</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终端管理</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要求系统能够承载管理≥10000台设备，且能够根据实际需要进行线性扩容</w:t>
            </w:r>
          </w:p>
        </w:tc>
      </w:tr>
      <w:tr>
        <w:tc>
          <w:tcPr>
            <w:tcW w:type="dxa" w:w="1018"/>
            <w:vMerge/>
            <w:tcBorders>
              <w:top w:val="none" w:color="000000" w:sz="4"/>
              <w:left w:val="single" w:color="000000" w:sz="4"/>
              <w:bottom w:val="single" w:color="000000" w:sz="4"/>
              <w:right w:val="single" w:color="000000" w:sz="4"/>
            </w:tcBorders>
          </w:tcPr>
          <w:p/>
        </w:tc>
        <w:tc>
          <w:tcPr>
            <w:tcW w:type="dxa" w:w="1329"/>
            <w:vMerge/>
            <w:tcBorders>
              <w:top w:val="none" w:color="000000" w:sz="4"/>
              <w:left w:val="none" w:color="000000" w:sz="4"/>
              <w:bottom w:val="single" w:color="000000" w:sz="4"/>
              <w:right w:val="single" w:color="000000" w:sz="4"/>
            </w:tcBorders>
          </w:tcPr>
          <w:p/>
        </w:tc>
        <w:tc>
          <w:tcPr>
            <w:tcW w:type="dxa" w:w="1866"/>
            <w:vMerge/>
            <w:tcBorders>
              <w:top w:val="none" w:color="000000" w:sz="4"/>
              <w:left w:val="none" w:color="000000" w:sz="4"/>
              <w:bottom w:val="single" w:color="000000" w:sz="4"/>
              <w:right w:val="single" w:color="000000" w:sz="4"/>
            </w:tcBorders>
          </w:tcPr>
          <w:p/>
        </w:tc>
        <w:tc>
          <w:tcPr>
            <w:tcW w:type="dxa" w:w="243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系统响应</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sz w:val="24"/>
              </w:rPr>
              <w:t>实时管控命令反馈：≤5秒</w:t>
            </w:r>
          </w:p>
        </w:tc>
      </w:tr>
    </w:tbl>
    <w:p>
      <w:pPr>
        <w:pStyle w:val="null3"/>
        <w:ind w:firstLine="422"/>
        <w:jc w:val="both"/>
      </w:pPr>
      <w:r>
        <w:rPr>
          <w:sz w:val="24"/>
          <w:b/>
        </w:rPr>
        <w:t>第四条、实施和服务要</w:t>
      </w:r>
    </w:p>
    <w:p>
      <w:pPr>
        <w:pStyle w:val="null3"/>
        <w:ind w:firstLine="422"/>
        <w:jc w:val="both"/>
      </w:pPr>
      <w:r>
        <w:rPr>
          <w:sz w:val="24"/>
          <w:b/>
        </w:rPr>
        <w:t>（一）项目进度</w:t>
      </w:r>
    </w:p>
    <w:p>
      <w:pPr>
        <w:pStyle w:val="null3"/>
        <w:ind w:firstLine="422"/>
        <w:jc w:val="both"/>
      </w:pPr>
      <w:r>
        <w:rPr>
          <w:sz w:val="24"/>
          <w:b/>
        </w:rPr>
        <w:t>1、项目服务期起算办法</w:t>
      </w:r>
    </w:p>
    <w:p>
      <w:pPr>
        <w:pStyle w:val="null3"/>
        <w:ind w:firstLine="420"/>
        <w:jc w:val="both"/>
      </w:pPr>
      <w:r>
        <w:rPr>
          <w:sz w:val="24"/>
        </w:rPr>
        <w:t>乙方要求在2025年7月1日前完成警务应用语音流量套餐、MDM等所有服务内容。确保语音流量套餐和MDM的无缝过渡及正常运行。</w:t>
      </w:r>
    </w:p>
    <w:p>
      <w:pPr>
        <w:pStyle w:val="null3"/>
        <w:ind w:firstLine="420"/>
        <w:jc w:val="both"/>
      </w:pPr>
      <w:r>
        <w:rPr>
          <w:sz w:val="24"/>
        </w:rPr>
        <w:t>完成上述内容后，由甲方组织验收，验收合格之次日起开始起计算服务期和租金。</w:t>
      </w:r>
    </w:p>
    <w:p>
      <w:pPr>
        <w:pStyle w:val="null3"/>
        <w:ind w:firstLine="422"/>
        <w:jc w:val="both"/>
      </w:pPr>
      <w:r>
        <w:rPr>
          <w:sz w:val="24"/>
          <w:b/>
        </w:rPr>
        <w:t>（二）项目运维维护要求</w:t>
      </w:r>
    </w:p>
    <w:p>
      <w:pPr>
        <w:pStyle w:val="null3"/>
        <w:ind w:firstLine="420"/>
        <w:jc w:val="both"/>
      </w:pPr>
      <w:r>
        <w:rPr>
          <w:sz w:val="24"/>
        </w:rPr>
        <w:t>1.技术保障及日常检测要求：乙方需负责对所提供的网络及MDM进行技术保障，保障系统在服务期间正常运行，由专职的维护人员为用户提供专业的技术支持和服务。在服务期内因MDM或通信网络中断的产生的故障，由乙方负责免费维修。同时，乙方需定时检测网络和MDM的运行状况，及时排除系统存在的隐患。</w:t>
      </w:r>
    </w:p>
    <w:p>
      <w:pPr>
        <w:pStyle w:val="null3"/>
        <w:ind w:firstLine="420"/>
        <w:jc w:val="both"/>
      </w:pPr>
      <w:r>
        <w:rPr>
          <w:sz w:val="24"/>
        </w:rPr>
        <w:t>2.故障响应要求：网络或MDM报修要求在2小时内响应。</w:t>
      </w:r>
    </w:p>
    <w:p>
      <w:pPr>
        <w:pStyle w:val="null3"/>
        <w:ind w:firstLine="420"/>
        <w:jc w:val="both"/>
      </w:pPr>
      <w:r>
        <w:rPr>
          <w:sz w:val="24"/>
        </w:rPr>
        <w:t>3.要求乙方在服务期内针对派出所提供完善的专人专职售后沟通机制，保证甲方做售后维保时的便利性。</w:t>
      </w:r>
    </w:p>
    <w:p>
      <w:pPr>
        <w:pStyle w:val="null3"/>
        <w:ind w:firstLine="420"/>
        <w:jc w:val="both"/>
      </w:pPr>
      <w:r>
        <w:rPr>
          <w:sz w:val="24"/>
        </w:rPr>
        <w:t>4.乙方需对番禺区域5G/4G网络覆盖进行保障，实现番禺区域5G/4G信号全覆盖，如发现信号盲点，应及时响应，提供信号优化解决方案并解决覆盖问题，响应时限要求不超过4小时。</w:t>
      </w:r>
    </w:p>
    <w:p>
      <w:pPr>
        <w:pStyle w:val="null3"/>
        <w:ind w:firstLine="422"/>
        <w:jc w:val="both"/>
      </w:pPr>
      <w:r>
        <w:rPr>
          <w:sz w:val="24"/>
          <w:b/>
        </w:rPr>
        <w:t>（三）培训要求</w:t>
      </w:r>
    </w:p>
    <w:p>
      <w:pPr>
        <w:pStyle w:val="null3"/>
        <w:ind w:firstLine="420"/>
        <w:jc w:val="both"/>
      </w:pPr>
      <w:r>
        <w:rPr>
          <w:sz w:val="24"/>
        </w:rPr>
        <w:t>乙方必须满足本章要求的培训服务。</w:t>
      </w:r>
    </w:p>
    <w:p>
      <w:pPr>
        <w:pStyle w:val="null3"/>
        <w:ind w:firstLine="420"/>
        <w:jc w:val="both"/>
      </w:pPr>
      <w:r>
        <w:rPr>
          <w:sz w:val="24"/>
        </w:rPr>
        <w:t>1.对本项目的甲方技术人员提供培训服务，服务期内提供不少于1次培训服务；</w:t>
      </w:r>
    </w:p>
    <w:p>
      <w:pPr>
        <w:pStyle w:val="null3"/>
        <w:ind w:firstLine="420"/>
        <w:jc w:val="both"/>
      </w:pPr>
      <w:r>
        <w:rPr>
          <w:sz w:val="24"/>
        </w:rPr>
        <w:t>2.乙方的投标报价应将所有培训费用（含培训教材费）等费用包含在内。</w:t>
      </w:r>
    </w:p>
    <w:p>
      <w:pPr>
        <w:pStyle w:val="null3"/>
        <w:ind w:firstLine="422"/>
        <w:jc w:val="both"/>
      </w:pPr>
      <w:r>
        <w:rPr>
          <w:sz w:val="24"/>
          <w:b/>
        </w:rPr>
        <w:t>（四）其他服务要求</w:t>
      </w:r>
    </w:p>
    <w:p>
      <w:pPr>
        <w:pStyle w:val="null3"/>
        <w:ind w:firstLine="420"/>
        <w:jc w:val="both"/>
      </w:pPr>
      <w:r>
        <w:rPr>
          <w:sz w:val="24"/>
        </w:rPr>
        <w:t>在合同期满后，甲方未能签订新的续约合同前，乙方承诺不高于原投标价格继续提供服务。在甲方签订新的续约合同后，乙方承诺免费做好各项交接工作。</w:t>
      </w:r>
    </w:p>
    <w:p>
      <w:pPr>
        <w:pStyle w:val="null3"/>
        <w:ind w:firstLine="422"/>
        <w:jc w:val="both"/>
      </w:pPr>
      <w:r>
        <w:rPr>
          <w:sz w:val="24"/>
          <w:b/>
        </w:rPr>
        <w:t>（五）运维考核</w:t>
      </w:r>
    </w:p>
    <w:p>
      <w:pPr>
        <w:pStyle w:val="null3"/>
        <w:ind w:firstLine="420"/>
        <w:jc w:val="both"/>
      </w:pPr>
      <w:r>
        <w:rPr>
          <w:sz w:val="24"/>
        </w:rPr>
        <w:t>因移动终端管理软件或通信网络中断连续48小时以上无法提供服务的，每超24小时减免整体月租3%。</w:t>
      </w:r>
    </w:p>
    <w:p>
      <w:pPr>
        <w:pStyle w:val="null3"/>
        <w:ind w:firstLine="422"/>
        <w:jc w:val="both"/>
      </w:pPr>
      <w:r>
        <w:rPr>
          <w:sz w:val="24"/>
          <w:b/>
        </w:rPr>
        <w:t>第五条、付款方式</w:t>
      </w:r>
    </w:p>
    <w:p>
      <w:pPr>
        <w:pStyle w:val="null3"/>
        <w:ind w:firstLine="420"/>
        <w:jc w:val="both"/>
      </w:pPr>
      <w:r>
        <w:rPr>
          <w:sz w:val="24"/>
        </w:rPr>
        <w:t>第1期为（预付款）：支付比例30%，</w:t>
      </w:r>
    </w:p>
    <w:p>
      <w:pPr>
        <w:pStyle w:val="null3"/>
        <w:ind w:firstLine="420"/>
        <w:jc w:val="both"/>
      </w:pPr>
      <w:r>
        <w:rPr>
          <w:sz w:val="24"/>
        </w:rPr>
        <w:t>双方签订合同后，甲方在收到发票后5个工作日内向乙方支付合同总金额的30%；</w:t>
      </w:r>
    </w:p>
    <w:p>
      <w:pPr>
        <w:pStyle w:val="null3"/>
        <w:ind w:firstLine="420"/>
        <w:jc w:val="both"/>
      </w:pPr>
      <w:r>
        <w:rPr>
          <w:sz w:val="24"/>
        </w:rPr>
        <w:t>第2期为（进度款）：支付比例20%，</w:t>
      </w:r>
    </w:p>
    <w:p>
      <w:pPr>
        <w:pStyle w:val="null3"/>
        <w:ind w:firstLine="420"/>
        <w:jc w:val="both"/>
      </w:pPr>
      <w:r>
        <w:rPr>
          <w:sz w:val="24"/>
        </w:rPr>
        <w:t>在服务期满3个月之日起，甲方在收到发票后5个工作日内向乙方支付合同总金额的20%。</w:t>
      </w:r>
    </w:p>
    <w:p>
      <w:pPr>
        <w:pStyle w:val="null3"/>
        <w:ind w:firstLine="420"/>
        <w:jc w:val="both"/>
      </w:pPr>
      <w:r>
        <w:rPr>
          <w:sz w:val="24"/>
        </w:rPr>
        <w:t>第3期为（进度款）：支付比例25%，</w:t>
      </w:r>
    </w:p>
    <w:p>
      <w:pPr>
        <w:pStyle w:val="null3"/>
        <w:ind w:firstLine="420"/>
        <w:jc w:val="both"/>
      </w:pPr>
      <w:r>
        <w:rPr>
          <w:sz w:val="24"/>
        </w:rPr>
        <w:t>在服务期满6个月之日起，甲方在收到发票后5个工作日内向乙方支付合同总金额的25%。</w:t>
      </w:r>
    </w:p>
    <w:p>
      <w:pPr>
        <w:pStyle w:val="null3"/>
        <w:ind w:firstLine="420"/>
        <w:jc w:val="both"/>
      </w:pPr>
      <w:r>
        <w:rPr>
          <w:sz w:val="24"/>
        </w:rPr>
        <w:t>第4期为（尾款）：支付比例25%，</w:t>
      </w:r>
    </w:p>
    <w:p>
      <w:pPr>
        <w:pStyle w:val="null3"/>
        <w:ind w:firstLine="420"/>
        <w:jc w:val="both"/>
      </w:pPr>
      <w:r>
        <w:rPr>
          <w:sz w:val="24"/>
        </w:rPr>
        <w:t>在服务期满9个月之日起，甲方在收到发票后5个工作日内向乙方支付合同总金额的25%。</w:t>
      </w:r>
    </w:p>
    <w:p>
      <w:pPr>
        <w:pStyle w:val="null3"/>
        <w:ind w:firstLine="422"/>
        <w:jc w:val="both"/>
      </w:pPr>
      <w:r>
        <w:rPr>
          <w:sz w:val="24"/>
          <w:b/>
        </w:rPr>
        <w:t>备注：</w:t>
      </w:r>
    </w:p>
    <w:p>
      <w:pPr>
        <w:pStyle w:val="null3"/>
        <w:ind w:firstLine="420"/>
        <w:jc w:val="both"/>
      </w:pPr>
      <w:r>
        <w:rPr>
          <w:sz w:val="24"/>
        </w:rPr>
        <w:t>1.本期项目付款方式分为四笔支付。</w:t>
      </w:r>
    </w:p>
    <w:p>
      <w:pPr>
        <w:pStyle w:val="null3"/>
        <w:ind w:firstLine="420"/>
        <w:jc w:val="both"/>
      </w:pPr>
      <w:r>
        <w:rPr>
          <w:sz w:val="24"/>
        </w:rPr>
        <w:t>2.乙方须在甲方办理付款手续之前 5个工作日内，提供等额的正式发票给甲方，以便甲方及时办理付款手续。</w:t>
      </w:r>
    </w:p>
    <w:p>
      <w:pPr>
        <w:pStyle w:val="null3"/>
        <w:ind w:firstLine="420"/>
        <w:jc w:val="both"/>
      </w:pPr>
      <w:r>
        <w:rPr>
          <w:sz w:val="24"/>
        </w:rPr>
        <w:t>3.在项目服务期内，如遇项目需求调整，则按总金额折算回月租，按实际服务发生月份进行结算，最终结算金额不超合同总金额。</w:t>
      </w:r>
    </w:p>
    <w:p>
      <w:pPr>
        <w:pStyle w:val="null3"/>
        <w:ind w:firstLine="420"/>
        <w:jc w:val="both"/>
      </w:pPr>
      <w:r>
        <w:rPr>
          <w:sz w:val="24"/>
        </w:rPr>
        <w:t>4.因财政资金拨款不到位而导致甲方逾期付款的，甲方不承担违约责任。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2"/>
        <w:jc w:val="both"/>
      </w:pPr>
      <w:r>
        <w:rPr>
          <w:sz w:val="24"/>
          <w:b/>
        </w:rPr>
        <w:t>第六条、验收要求</w:t>
      </w:r>
    </w:p>
    <w:p>
      <w:pPr>
        <w:pStyle w:val="null3"/>
        <w:ind w:firstLine="420"/>
        <w:jc w:val="both"/>
      </w:pPr>
      <w:r>
        <w:rPr>
          <w:sz w:val="24"/>
        </w:rPr>
        <w:t>1．履约验收主体：甲方。</w:t>
      </w:r>
    </w:p>
    <w:p>
      <w:pPr>
        <w:pStyle w:val="null3"/>
        <w:ind w:firstLine="420"/>
        <w:jc w:val="both"/>
      </w:pPr>
      <w:r>
        <w:rPr>
          <w:sz w:val="24"/>
        </w:rPr>
        <w:t>2．履约验收时间：合同签订后乙方需在2025年7月1日前完成警务应用语音流量套餐、MDM等所有服务内容。确保语音流量套餐和MDM的无缝过渡及正常运行。完成上述内容后，甲方在收到乙方的验收申请资料后7日内（具体以甲方确认为准）由甲方组织验收，验收合格之次日起开始起计算服务期和租金。</w:t>
      </w:r>
    </w:p>
    <w:p>
      <w:pPr>
        <w:pStyle w:val="null3"/>
        <w:ind w:firstLine="420"/>
        <w:jc w:val="both"/>
      </w:pPr>
      <w:r>
        <w:rPr>
          <w:sz w:val="24"/>
        </w:rPr>
        <w:t>3．履约验收方式：由甲方和乙方共同进行。</w:t>
      </w:r>
    </w:p>
    <w:p>
      <w:pPr>
        <w:pStyle w:val="null3"/>
        <w:ind w:firstLine="420"/>
        <w:jc w:val="both"/>
      </w:pPr>
      <w:r>
        <w:rPr>
          <w:sz w:val="24"/>
        </w:rPr>
        <w:t>4．履约验收要求：乙方完成服务提供结束，在服务数量、规格、质量及各项功能应用满足合同要求后，由乙方、甲方双方共同签字验收。因服务质量问题发生争议时，由本地质量技术监督部门鉴定。服务符合质量技术标准的，鉴定费由甲方承担；否则鉴定费由乙方承担。</w:t>
      </w:r>
    </w:p>
    <w:p>
      <w:pPr>
        <w:pStyle w:val="null3"/>
        <w:ind w:firstLine="420"/>
        <w:jc w:val="both"/>
      </w:pPr>
      <w:r>
        <w:rPr>
          <w:sz w:val="24"/>
        </w:rPr>
        <w:t>5．履约验收内容及标准：满足采购需求的要求、投标文件中的相关承诺及合同约定的内容。 乙方若因非不可抗力因素无法按时提供服务，以逾期提供服务部分款项总额日利率5‰的标准向甲方交纳违约金，累计不超过逾期提供服务部分款项总额的5%。逾期提供服务超过30日历日，甲方有权终止合同，乙方退回已收取的合同款项，并交纳合同总价10% 的违约金。</w:t>
      </w:r>
    </w:p>
    <w:p>
      <w:pPr>
        <w:pStyle w:val="null3"/>
        <w:ind w:firstLine="420"/>
        <w:jc w:val="both"/>
      </w:pPr>
      <w:r>
        <w:rPr>
          <w:sz w:val="24"/>
        </w:rPr>
        <w:t>若乙方提供的产品发生知识产权纠纷的，由乙方与原知识产权所有者协商解决，甲方不承担与之相关的任何经济和法律责任。</w:t>
      </w:r>
    </w:p>
    <w:p>
      <w:pPr>
        <w:pStyle w:val="null3"/>
        <w:ind w:firstLine="422"/>
        <w:jc w:val="both"/>
      </w:pPr>
      <w:r>
        <w:rPr>
          <w:sz w:val="24"/>
          <w:b/>
        </w:rPr>
        <w:t>第七条、知识产权归属</w:t>
      </w:r>
    </w:p>
    <w:p>
      <w:pPr>
        <w:pStyle w:val="null3"/>
        <w:ind w:firstLine="42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22"/>
        <w:jc w:val="both"/>
      </w:pPr>
      <w:r>
        <w:rPr>
          <w:sz w:val="24"/>
          <w:b/>
        </w:rPr>
        <w:t>第八条、保密条款</w:t>
      </w:r>
    </w:p>
    <w:p>
      <w:pPr>
        <w:pStyle w:val="null3"/>
        <w:ind w:firstLine="420"/>
        <w:jc w:val="both"/>
      </w:pPr>
      <w:r>
        <w:rPr>
          <w:sz w:val="24"/>
        </w:rPr>
        <w:t>1.乙方必须严格遵守相关保密、安全管理规定。服务实施过程中必须做好保密工作，不得将监测过程中获知的信息泄密或用于其它用途。服务完成的各种影像、资料所有权属甲方，各种统计资料、影像资料、光盘资料、纸质资料及各种清单等在项目结束时都必须完整移交。</w:t>
      </w:r>
    </w:p>
    <w:p>
      <w:pPr>
        <w:pStyle w:val="null3"/>
        <w:ind w:firstLine="420"/>
        <w:jc w:val="both"/>
      </w:pPr>
      <w:r>
        <w:rPr>
          <w:sz w:val="24"/>
        </w:rPr>
        <w:t>2.乙方人员不得以任何形式将各项档案资料带出指定工作现场，不得以任何形式进行泄漏、传播；</w:t>
      </w:r>
      <w:r>
        <w:rPr>
          <w:sz w:val="24"/>
        </w:rPr>
        <w:t>乙方</w:t>
      </w:r>
      <w:r>
        <w:rPr>
          <w:sz w:val="24"/>
        </w:rPr>
        <w:t>必须保证档案内容与档案载体的安全，档案不得丢失、泄密、损坏。</w:t>
      </w:r>
    </w:p>
    <w:p>
      <w:pPr>
        <w:pStyle w:val="null3"/>
        <w:ind w:firstLine="422"/>
        <w:jc w:val="both"/>
      </w:pPr>
      <w:r>
        <w:rPr>
          <w:sz w:val="24"/>
          <w:b/>
        </w:rPr>
        <w:t>第九条、违约责任与赔偿损失</w:t>
      </w:r>
    </w:p>
    <w:p>
      <w:pPr>
        <w:pStyle w:val="null3"/>
        <w:ind w:firstLine="420"/>
        <w:jc w:val="both"/>
      </w:pPr>
      <w:r>
        <w:rPr>
          <w:sz w:val="24"/>
        </w:rPr>
        <w:t>1.乙方提供的货物/服务不符合采购文件、投标文件或本合同规定的，甲方有权拒收，并且乙方须向甲方支付本合同总价5%的违约金。</w:t>
      </w:r>
    </w:p>
    <w:p>
      <w:pPr>
        <w:pStyle w:val="null3"/>
        <w:ind w:firstLine="420"/>
        <w:jc w:val="both"/>
      </w:pPr>
      <w:r>
        <w:rPr>
          <w:sz w:val="24"/>
        </w:rPr>
        <w:t>2.乙方未能按本合同规定的交货时间提供货物/服务，从逾期之日起每日按本合同总价3‰的数额向甲方支付违约金；逾期半个月以上的，甲方有权终止合同，由此造成的甲方经济损失由乙方承担。</w:t>
      </w:r>
    </w:p>
    <w:p>
      <w:pPr>
        <w:pStyle w:val="null3"/>
        <w:ind w:firstLine="420"/>
        <w:jc w:val="both"/>
      </w:pPr>
      <w:r>
        <w:rPr>
          <w:sz w:val="24"/>
        </w:rPr>
        <w:t>3.因甲方使用的是财政资金，甲方向财政支付部门请款之日即视为履行了付款义务。因乙方未及时提供发票供甲方请款或因乙方提供的银行账户信息不准确而导致逾期付款，甲方不承担违约责任。</w:t>
      </w:r>
    </w:p>
    <w:p>
      <w:pPr>
        <w:pStyle w:val="null3"/>
        <w:ind w:firstLine="420"/>
        <w:jc w:val="both"/>
      </w:pPr>
      <w:r>
        <w:rPr>
          <w:sz w:val="24"/>
        </w:rPr>
        <w:t>4.其它违约责任按《中华人民共和国民法典(合同编)》处理。</w:t>
      </w:r>
    </w:p>
    <w:p>
      <w:pPr>
        <w:pStyle w:val="null3"/>
        <w:ind w:firstLine="422"/>
        <w:jc w:val="both"/>
      </w:pPr>
      <w:r>
        <w:rPr>
          <w:sz w:val="24"/>
          <w:b/>
        </w:rPr>
        <w:t>第十条、争议的解决</w:t>
      </w:r>
    </w:p>
    <w:p>
      <w:pPr>
        <w:pStyle w:val="null3"/>
        <w:ind w:firstLine="420"/>
        <w:jc w:val="both"/>
      </w:pPr>
      <w:r>
        <w:rPr>
          <w:sz w:val="24"/>
        </w:rPr>
        <w:t>本合同发生争议，由双方协商或由政府采购监管部门调解解决，协商或调解不成时双方同意提交中国广州仲裁委员会，按照提交仲裁时该会现行有效的仲裁规则进行仲裁，仲裁裁决是终局的，对双方均有约束力。</w:t>
      </w:r>
    </w:p>
    <w:p>
      <w:pPr>
        <w:pStyle w:val="null3"/>
        <w:ind w:firstLine="422"/>
        <w:jc w:val="both"/>
      </w:pPr>
      <w:r>
        <w:rPr>
          <w:sz w:val="24"/>
          <w:b/>
        </w:rPr>
        <w:t>第十一条、不可抗力</w:t>
      </w:r>
    </w:p>
    <w:p>
      <w:pPr>
        <w:pStyle w:val="null3"/>
        <w:ind w:firstLine="420"/>
        <w:jc w:val="both"/>
      </w:pPr>
      <w:r>
        <w:rPr>
          <w:sz w:val="24"/>
        </w:rPr>
        <w:t>1.由于不可预见、不可避免、不可克服等不可抗力的原因，一方不能履行合同义务的，应当在不可抗力发生之日起10天内以书面形式通知对方，证明不可抗力事件的存在。</w:t>
      </w:r>
    </w:p>
    <w:p>
      <w:pPr>
        <w:pStyle w:val="null3"/>
        <w:ind w:firstLine="420"/>
        <w:jc w:val="both"/>
      </w:pPr>
      <w:r>
        <w:rPr>
          <w:sz w:val="24"/>
        </w:rPr>
        <w:t>2.不可抗力事件发生后，甲方和乙方应当积极寻求以合理的方式履行本合同。如不可抗力无法消除，致使合同目的无法实现的，双方均有权解除合同，且均不互相索赔。</w:t>
      </w:r>
    </w:p>
    <w:p>
      <w:pPr>
        <w:pStyle w:val="null3"/>
        <w:ind w:firstLine="422"/>
        <w:jc w:val="both"/>
      </w:pPr>
      <w:r>
        <w:rPr>
          <w:sz w:val="24"/>
          <w:b/>
        </w:rPr>
        <w:t>第十二条、税费</w:t>
      </w:r>
    </w:p>
    <w:p>
      <w:pPr>
        <w:pStyle w:val="null3"/>
        <w:ind w:firstLine="420"/>
        <w:jc w:val="both"/>
      </w:pPr>
      <w:r>
        <w:rPr>
          <w:sz w:val="24"/>
        </w:rPr>
        <w:t>在中国境内、外发生的与本合同执行有关的一切税费均由乙方负担。</w:t>
      </w:r>
    </w:p>
    <w:p>
      <w:pPr>
        <w:pStyle w:val="null3"/>
        <w:ind w:firstLine="422"/>
        <w:jc w:val="both"/>
      </w:pPr>
      <w:r>
        <w:rPr>
          <w:sz w:val="24"/>
          <w:b/>
        </w:rPr>
        <w:t>第十三条、其它</w:t>
      </w:r>
    </w:p>
    <w:p>
      <w:pPr>
        <w:pStyle w:val="null3"/>
        <w:ind w:firstLine="420"/>
        <w:jc w:val="both"/>
      </w:pPr>
      <w:r>
        <w:rPr>
          <w:sz w:val="24"/>
        </w:rPr>
        <w:t>1.本合同所有附件、招标文件、投标文件、中标通知书均为合同的有效组成部分，与本合同具有同等法律效力。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ind w:firstLine="422"/>
        <w:jc w:val="both"/>
      </w:pPr>
      <w:r>
        <w:rPr>
          <w:sz w:val="24"/>
          <w:b/>
        </w:rPr>
        <w:t>第十四条、附则</w:t>
      </w:r>
    </w:p>
    <w:p>
      <w:pPr>
        <w:pStyle w:val="null3"/>
        <w:ind w:firstLine="420"/>
        <w:jc w:val="both"/>
      </w:pPr>
      <w:r>
        <w:rPr>
          <w:sz w:val="24"/>
        </w:rPr>
        <w:t>1.本合同未尽事宜双方应本着友好合作的原则，另行商议并写入补充条款。所有修改或补充条款都视为本合同的组成部分，具有与其它条款同等的法律效力。</w:t>
      </w:r>
    </w:p>
    <w:p>
      <w:pPr>
        <w:pStyle w:val="null3"/>
        <w:ind w:firstLine="420"/>
        <w:jc w:val="both"/>
      </w:pPr>
      <w:r>
        <w:rPr>
          <w:sz w:val="24"/>
        </w:rPr>
        <w:t>2.本合同自双方法定代表人或其授权代表签字盖章之日起生效，一式五份，双方各执两份，采购代理机构一份。</w:t>
      </w:r>
    </w:p>
    <w:p>
      <w:pPr>
        <w:pStyle w:val="null3"/>
        <w:ind w:firstLine="420"/>
        <w:jc w:val="both"/>
      </w:pPr>
      <w:r>
        <w:rPr>
          <w:sz w:val="24"/>
        </w:rPr>
        <w:t>（以下无正文）</w:t>
      </w:r>
    </w:p>
    <w:p>
      <w:pPr>
        <w:pStyle w:val="null3"/>
        <w:ind w:firstLine="420"/>
        <w:jc w:val="both"/>
      </w:pPr>
      <w:r>
        <w:rPr/>
        <w:t xml:space="preserve"> </w:t>
      </w:r>
    </w:p>
    <w:p>
      <w:pPr>
        <w:pStyle w:val="null3"/>
        <w:ind w:firstLine="420"/>
        <w:jc w:val="both"/>
      </w:pPr>
      <w:r>
        <w:rPr/>
        <w:t xml:space="preserve"> </w:t>
      </w:r>
    </w:p>
    <w:p>
      <w:pPr>
        <w:pStyle w:val="null3"/>
        <w:ind w:firstLine="420"/>
        <w:jc w:val="both"/>
      </w:pPr>
      <w:r>
        <w:rPr>
          <w:sz w:val="24"/>
        </w:rPr>
        <w:t>甲方：                                         乙方：</w:t>
      </w:r>
    </w:p>
    <w:p>
      <w:pPr>
        <w:pStyle w:val="null3"/>
        <w:ind w:firstLine="420"/>
        <w:jc w:val="both"/>
      </w:pPr>
      <w:r>
        <w:rPr>
          <w:sz w:val="24"/>
        </w:rPr>
        <w:t>签约代表：                                  签约代表：</w:t>
      </w:r>
    </w:p>
    <w:p>
      <w:pPr>
        <w:pStyle w:val="null3"/>
        <w:ind w:firstLine="420"/>
        <w:jc w:val="both"/>
      </w:pPr>
      <w:r>
        <w:rPr>
          <w:sz w:val="24"/>
        </w:rPr>
        <w:t>地址：                                         地址：</w:t>
      </w:r>
    </w:p>
    <w:p>
      <w:pPr>
        <w:pStyle w:val="null3"/>
        <w:ind w:firstLine="420"/>
        <w:jc w:val="both"/>
      </w:pPr>
      <w:r>
        <w:rPr>
          <w:sz w:val="24"/>
        </w:rPr>
        <w:t>电话：　　　                               电话：</w:t>
      </w:r>
    </w:p>
    <w:p>
      <w:pPr>
        <w:pStyle w:val="null3"/>
        <w:ind w:firstLine="420"/>
        <w:jc w:val="both"/>
      </w:pPr>
      <w:r>
        <w:rPr>
          <w:sz w:val="24"/>
        </w:rPr>
        <w:t>签约日期：    年  月  日                 签约日期：    年  月  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440113-2025-03332</w:t>
      </w:r>
    </w:p>
    <w:p>
      <w:pPr>
        <w:pStyle w:val="null3"/>
        <w:jc w:val="center"/>
        <w:outlineLvl w:val="3"/>
      </w:pPr>
      <w:r>
        <w:rPr>
          <w:sz w:val="24"/>
          <w:b/>
        </w:rPr>
        <w:t>采购项目编号：</w:t>
      </w:r>
      <w:r>
        <w:rPr>
          <w:sz w:val="24"/>
          <w:b/>
        </w:rPr>
        <w:t>GZCQC2501FG040016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广州市公安局番禺区分局1625台移动警务终端通信服务采购项目</w:t>
      </w:r>
      <w:r>
        <w:rPr>
          <w:u w:val="single"/>
        </w:rPr>
        <w:t>”</w:t>
      </w:r>
      <w:r>
        <w:rPr/>
        <w:t>项目的招标[采购项目编号为：</w:t>
      </w:r>
      <w:r>
        <w:rPr>
          <w:u w:val="single"/>
        </w:rPr>
        <w:t>GZCQC2501FG040016</w:t>
      </w:r>
      <w:r>
        <w:rPr/>
        <w:t>]，我方愿参与投标。</w:t>
      </w:r>
    </w:p>
    <w:p>
      <w:pPr>
        <w:pStyle w:val="null3"/>
        <w:ind w:firstLine="480"/>
      </w:pPr>
      <w:r>
        <w:rPr/>
        <w:t>我方确认收到贵方提供的</w:t>
      </w:r>
      <w:r>
        <w:rPr>
          <w:u w:val="single"/>
        </w:rPr>
        <w:t>“</w:t>
      </w:r>
      <w:r>
        <w:rPr>
          <w:u w:val="single"/>
        </w:rPr>
        <w:t>广州市公安局番禺区分局1625台移动警务终端通信服务采购项目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广州市公安局番禺区分局1625台移动警务终端通信服务采购项目</w:t>
      </w:r>
      <w:r>
        <w:rPr/>
        <w:t>”项目采购[采购项目编号为</w:t>
      </w:r>
      <w:r>
        <w:rPr/>
        <w:t>GZCQC2501FG040016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广州市公安局番禺区分局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广州市公安局番禺区分局1625台移动警务终端通信服务采购项目</w:t>
      </w:r>
      <w:r>
        <w:rPr/>
        <w:t>招标中获中标（采购项目编号：</w:t>
      </w:r>
      <w:r>
        <w:rPr/>
        <w:t>GZCQC2501FG040016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