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440111-2025-01967</w:t>
      </w:r>
    </w:p>
    <w:p>
      <w:pPr>
        <w:pStyle w:val="null3"/>
        <w:jc w:val="center"/>
        <w:outlineLvl w:val="3"/>
      </w:pPr>
      <w:r>
        <w:rPr>
          <w:sz w:val="24"/>
          <w:b/>
        </w:rPr>
        <w:t>采购项目编号：</w:t>
      </w:r>
      <w:r>
        <w:rPr>
          <w:sz w:val="24"/>
          <w:b/>
        </w:rPr>
        <w:t>GZCQC2500FG04012</w:t>
      </w:r>
    </w:p>
    <w:p>
      <w:pPr>
        <w:pStyle w:val="null3"/>
        <w:jc w:val="center"/>
        <w:outlineLvl w:val="3"/>
      </w:pPr>
      <w:r>
        <w:rPr>
          <w:sz w:val="24"/>
          <w:b/>
        </w:rPr>
        <w:t>项目名称：</w:t>
      </w:r>
      <w:r>
        <w:rPr>
          <w:sz w:val="24"/>
          <w:b/>
        </w:rPr>
        <w:t>2025年下半年至2026年上半年规划实施公示公布工作项目</w:t>
      </w:r>
    </w:p>
    <w:p>
      <w:pPr>
        <w:pStyle w:val="null3"/>
        <w:jc w:val="center"/>
        <w:outlineLvl w:val="3"/>
      </w:pPr>
      <w:r>
        <w:rPr>
          <w:sz w:val="24"/>
          <w:b/>
        </w:rPr>
        <w:t>采购人：</w:t>
      </w:r>
      <w:r>
        <w:rPr>
          <w:sz w:val="24"/>
          <w:b/>
        </w:rPr>
        <w:t>广州市规划和自然资源局白云区分局（广州市白云区林业局）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广州市规划和自然资源局白云区分局（广州市白云区林业局）</w:t>
      </w:r>
      <w:r>
        <w:rPr/>
        <w:t>的委托，采用</w:t>
      </w:r>
      <w:r>
        <w:rPr/>
        <w:t>公开招标</w:t>
      </w:r>
      <w:r>
        <w:rPr/>
        <w:t>方式组织采购</w:t>
      </w:r>
      <w:r>
        <w:rPr/>
        <w:t>2025年下半年至2026年上半年规划实施公示公布工作项目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2025年下半年至2026年上半年规划实施公示公布工作项目</w:t>
      </w:r>
    </w:p>
    <w:p>
      <w:pPr>
        <w:pStyle w:val="null3"/>
        <w:ind w:firstLine="480"/>
      </w:pPr>
      <w:r>
        <w:rPr/>
        <w:t>采购计划编号：</w:t>
      </w:r>
      <w:r>
        <w:rPr/>
        <w:t>440111-2025-01967</w:t>
      </w:r>
    </w:p>
    <w:p>
      <w:pPr>
        <w:pStyle w:val="null3"/>
        <w:ind w:firstLine="480"/>
      </w:pPr>
      <w:r>
        <w:rPr/>
        <w:t>采购项目编号：</w:t>
      </w:r>
      <w:r>
        <w:rPr/>
        <w:t>GZCQC2500FG04012</w:t>
      </w:r>
    </w:p>
    <w:p>
      <w:pPr>
        <w:pStyle w:val="null3"/>
        <w:ind w:firstLine="480"/>
      </w:pPr>
      <w:r>
        <w:rPr/>
        <w:t>采购方式：</w:t>
      </w:r>
      <w:r>
        <w:rPr/>
        <w:t>公开招标</w:t>
      </w:r>
    </w:p>
    <w:p>
      <w:pPr>
        <w:pStyle w:val="null3"/>
        <w:ind w:firstLine="480"/>
      </w:pPr>
      <w:r>
        <w:rPr/>
        <w:t>预算金额：</w:t>
      </w:r>
      <w:r>
        <w:rPr/>
        <w:t>1,700,000.00</w:t>
      </w:r>
      <w:r>
        <w:rPr/>
        <w:t>元</w:t>
      </w:r>
    </w:p>
    <w:p>
      <w:pPr>
        <w:pStyle w:val="null3"/>
        <w:outlineLvl w:val="3"/>
      </w:pPr>
      <w:r>
        <w:rPr>
          <w:sz w:val="24"/>
          <w:b/>
        </w:rPr>
        <w:t>2.项目内容及需求情况（采购项目技术规格、参数及要求）</w:t>
      </w:r>
    </w:p>
    <w:p>
      <w:pPr>
        <w:pStyle w:val="null3"/>
      </w:pPr>
      <w:r>
        <w:rPr/>
        <w:t>采购包1(2025年下半年至2026年上半年规划实施公示公布工作项目):</w:t>
      </w:r>
    </w:p>
    <w:p>
      <w:pPr>
        <w:pStyle w:val="null3"/>
      </w:pPr>
      <w:r>
        <w:rPr/>
        <w:t>采购包预算金额：1,700,000.00元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2025年下半年至2026年上半年规划实施公示公布工作项目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1,700,000.00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合同履行期限：本项目服务期自2025年7月1日至2026年6月30日。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采购包1（2025年下半年至2026年上半年规划实施公示公布工作项目）：</w:t>
      </w:r>
      <w:r>
        <w:rPr/>
        <w:t>本采购包整体专门面向中小企业采购。投标人须符合本项目采购标的对应行业（本项目行业为：其他未列明行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采购包1（2025年下半年至2026年上半年规划实施公示公布工作项目）：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广州市规划和自然资源局白云区分局（广州市白云区林业局）</w:t>
      </w:r>
    </w:p>
    <w:p>
      <w:pPr>
        <w:pStyle w:val="null3"/>
        <w:ind w:firstLine="480"/>
      </w:pPr>
      <w:r>
        <w:rPr/>
        <w:t xml:space="preserve"> 地址：</w:t>
      </w:r>
      <w:r>
        <w:rPr/>
        <w:t>广州市白云区黄边北路鹤贤北街5号C3栋</w:t>
      </w:r>
    </w:p>
    <w:p>
      <w:pPr>
        <w:pStyle w:val="null3"/>
        <w:ind w:firstLine="480"/>
      </w:pPr>
      <w:r>
        <w:rPr/>
        <w:t xml:space="preserve"> 联系方式：</w:t>
      </w:r>
      <w:r>
        <w:rPr/>
        <w:t>020-86589523</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规划实施公示公布是指在履行规划管理职责过程中，通过一定的方式和渠道公开规划实施的相关信息，征询公众意见，接受公众监督的行为。根据《中华人民共和国城乡规划法》《中华人民共和国政府信息公开条例》《广东省城乡规划条例》《广州市城乡规划条例》《广州市城乡规划程序规定》《广州市城乡规划程序规定》等法律、法规和规章，城乡规划主管部门依法负责规划实施公示公布工作。为进一步保障公众对白云区规划实施公示公布的知情权、参与权和监督权，提高政府工作的透明度，增强城市规划的科学性，广州市规划和自然资源局白云区分局（广州市白云区林业局）实施本项目。</w:t>
      </w:r>
    </w:p>
    <w:p>
      <w:pPr>
        <w:pStyle w:val="null3"/>
        <w:ind w:firstLine="480"/>
      </w:pPr>
      <w:r>
        <w:rPr>
          <w:sz w:val="24"/>
        </w:rPr>
        <w:t>本项目具体包含规划实施批前公示和批后公布。批前公示是指城乡规划主管部门办理直接关系他人重大利益的行政许可、行政审批事项，应当在作出决定前进行的公示，公示方式包括在当地主要报刊或者本部门网站进行公示以及在建设项目现场设置公示牌等方式；批后公布是指城乡规划主管部门作出行政审批、行政许可决定后，在政府网站进行的公布，其中经批准的建设工程设计方案总平面图、建设工程规划许可证还需要在施工现场通过公示牌的方式进行公布。以上均不含涉及国家秘</w:t>
      </w:r>
      <w:r>
        <w:rPr>
          <w:sz w:val="24"/>
          <w:color w:val="FFFFFF"/>
        </w:rPr>
        <w:t>1</w:t>
      </w:r>
      <w:r>
        <w:rPr>
          <w:sz w:val="24"/>
        </w:rPr>
        <w:t>密、商业秘</w:t>
      </w:r>
      <w:r>
        <w:rPr>
          <w:sz w:val="24"/>
          <w:color w:val="FFFFFF"/>
        </w:rPr>
        <w:t>1</w:t>
      </w:r>
      <w:r>
        <w:rPr>
          <w:sz w:val="24"/>
        </w:rPr>
        <w:t>密或个人隐私的信息。</w:t>
      </w:r>
    </w:p>
    <w:p>
      <w:pPr>
        <w:pStyle w:val="null3"/>
      </w:pPr>
      <w:r>
        <w:rPr/>
        <w:t>采购包1（2025年下半年至2026年上半年规划实施公示公布工作项目）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本项目服务期自2025年7月1日至2026年6月30日。</w:t>
            </w:r>
          </w:p>
        </w:tc>
      </w:tr>
      <w:tr>
        <w:tc>
          <w:tcPr>
            <w:tcW w:type="dxa" w:w="4153"/>
          </w:tcPr>
          <w:p>
            <w:pPr>
              <w:pStyle w:val="null3"/>
            </w:pPr>
            <w:r>
              <w:rPr/>
              <w:t>标的提供的地点</w:t>
            </w:r>
          </w:p>
        </w:tc>
        <w:tc>
          <w:tcPr>
            <w:tcW w:type="dxa" w:w="4153"/>
          </w:tcPr>
          <w:p>
            <w:pPr>
              <w:pStyle w:val="null3"/>
            </w:pPr>
            <w:r>
              <w:rPr/>
              <w:t>广州市规划和自然资源局白云区分局（广州市白云区林业局）指定地点</w:t>
            </w:r>
          </w:p>
        </w:tc>
      </w:tr>
      <w:tr/>
      <w:tr/>
      <w:tr>
        <w:tc>
          <w:tcPr>
            <w:tcW w:type="dxa" w:w="4153"/>
          </w:tcPr>
          <w:p>
            <w:pPr>
              <w:pStyle w:val="null3"/>
            </w:pPr>
            <w:r>
              <w:rPr/>
              <w:t>付款方式</w:t>
            </w:r>
          </w:p>
        </w:tc>
        <w:tc>
          <w:tcPr>
            <w:tcW w:type="dxa" w:w="4153"/>
          </w:tcPr>
          <w:p>
            <w:pPr>
              <w:pStyle w:val="null3"/>
            </w:pPr>
            <w:r>
              <w:rPr/>
              <w:t>第1期为(预付款)：支付比例45%，合同签订后，采购人向中标人支付合同总金额的45%。</w:t>
            </w:r>
          </w:p>
          <w:p>
            <w:pPr>
              <w:pStyle w:val="null3"/>
            </w:pPr>
            <w:r>
              <w:rPr/>
              <w:t>第2期为(尾款不超55%)：支付比例55%，服务期满且项目通过验收后，项目实施据实结算，中标人向采购人提交已完成工作量数据和尾款费用支付申请，采购人对已完成工作量数据和费用进行审核，采购人审核完毕后按规定申请款项支付手续，待支付手续批复后，采购人向中标人支付尾款。 备注： （一）尾款据实结算计算方法如下： （1）单宗规划实施批前公示结算价最高不超过1960元/宗，单宗规划实施批后公布结算价最高不超过1540元/宗，根据中标人的报价折扣率最终确定单宗结算价。 （2）结算金额=单宗规划实施批前公示中标结算价*实际完成批前公示宗数+单宗规划实施批后公布中标结算价*实际完成批后公布宗数。 （3）结算总价=首期款+尾款。因本项目财政预算资金有限，结算总价不得超过预算金额（即壹佰柒拾万元（¥1,700,000.00元）。（注：采购人不保证中标人可承接的具体业务量，以实际发生量为准，中标人应自行承担相关风险。同时因本项目财政预算资金有限，投标人须承诺服务期限内当结算金额超过项目预算金额时，投标人须继续提供服务，不再追加其他费用。） （二）因使用的是财政资金，广州市规划和自然资源局白云区分局（广州市白云区林业局）在规定的付款时间内向相关财政部门申请支付手续即视为采购人已经按期支付，最终的款项支付时间以财政部门审核支付资金的时间为准，由此原因造成的延期付款免责。资金支付具体比例和金额以财政实际下达资金为准，如当期财政资金下达未达到本合同约定金额，采购人有权调整并告知中标人。中标人延迟提交请款资料的，采购人有权延迟支付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1期：双方确定以下列标准和方式对中标人的技术服务工作成果进行验收： 1．中标人完成技术服务工作的形式：完成项目服务工作。 2．技术服务工作成果的验收标准：成果必须符合合同约定服务内容和任务书的有关规定，符合国家、省市有关规划和相关行业标准、技术规范，达到采购人的归档形式要求。 3．技术服务工作成果的验收方法：采购人组织项目评审。 4．验收的时间和地点：由采购人确定。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1、★报价要求，（1）单宗规划实施批前公示单价最高限价1960元/宗，单宗规划实施批后公布单价最高限价1540元/宗。 （2）投标人须对“单宗规划实施批前公示”和“单宗规划实施批后公布”作出统一的折扣率报价，折扣率必须为固定报价，不接受区间报价（如10%-20%），折扣率报价范围：0%&lt;折扣率≤100%，凡超出报价范围的投标报价均视为无效报价。 （3）单宗规划实施批前公示单价结算价=单宗规划实施批前公示单价最高限价*中标折扣率；单宗规划实施批后公布单价结算价=单宗规划实施批后公布单价最高限价*中标折扣率。</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2025年下半年至2026年上半年规划实施公示公布工作项目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1,700,000.00</w:t>
            </w:r>
          </w:p>
        </w:tc>
        <w:tc>
          <w:tcPr>
            <w:tcW w:type="dxa" w:w="831"/>
          </w:tcPr>
          <w:p>
            <w:pPr>
              <w:pStyle w:val="null3"/>
              <w:jc w:val="right"/>
            </w:pPr>
            <w:r>
              <w:rPr/>
              <w:t>1,700,000.00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2025年下半年至2026年上半年规划实施公示公布工作项目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一、项目目标</w:t>
            </w:r>
          </w:p>
          <w:p>
            <w:pPr>
              <w:pStyle w:val="null3"/>
              <w:ind w:firstLine="480"/>
            </w:pPr>
            <w:r>
              <w:rPr>
                <w:sz w:val="24"/>
              </w:rPr>
              <w:t>完成2025年7月1日至2026年6月30日广州市规划和自然资源局白云区分局（广州市白云区林业局）规划实施公示公布工作。</w:t>
            </w:r>
          </w:p>
        </w:tc>
      </w:tr>
      <w:tr>
        <w:tc>
          <w:tcPr>
            <w:tcW w:type="dxa" w:w="2076"/>
          </w:tcPr>
          <w:p/>
        </w:tc>
        <w:tc>
          <w:tcPr>
            <w:tcW w:type="dxa" w:w="415"/>
          </w:tcPr>
          <w:p>
            <w:pPr>
              <w:pStyle w:val="null3"/>
            </w:pPr>
            <w:r>
              <w:rPr/>
              <w:t>2</w:t>
            </w:r>
          </w:p>
        </w:tc>
        <w:tc>
          <w:tcPr>
            <w:tcW w:type="dxa" w:w="5814"/>
          </w:tcPr>
          <w:p>
            <w:pPr>
              <w:pStyle w:val="null3"/>
              <w:jc w:val="left"/>
            </w:pPr>
            <w:r>
              <w:rPr>
                <w:sz w:val="24"/>
                <w:b/>
              </w:rPr>
              <w:t>二、项目内容</w:t>
            </w:r>
          </w:p>
          <w:p>
            <w:pPr>
              <w:pStyle w:val="null3"/>
              <w:ind w:firstLine="480"/>
              <w:jc w:val="left"/>
            </w:pPr>
            <w:r>
              <w:rPr>
                <w:sz w:val="24"/>
              </w:rPr>
              <w:t>（一）规划批前公示、批后公布图设计及公示牌制作。</w:t>
            </w:r>
          </w:p>
          <w:p>
            <w:pPr>
              <w:pStyle w:val="null3"/>
              <w:ind w:firstLine="480"/>
              <w:jc w:val="left"/>
            </w:pPr>
            <w:r>
              <w:rPr>
                <w:sz w:val="24"/>
              </w:rPr>
              <w:t>开展规划实施批前公示、批后公布图设计、公示公布牌制作。利用报建通、方案通、市政通等规划报批专业设计软件中的电子图件和建设单位补充提供的设计方案电子文件，开展规划实施公示公布图的设计制作，通过采购人的审查后制作成规划实施公示公布牌，协助采购人进行规划公示公布牌发放工作，并在采购人办公自动化系统上传规划实施批前公示、批后公布图电子文件，通过规划公示公布系统平台将规划公示公布图上传到采购人门户网站(http://ghzyj.gz.gov.cn/)进行网上公示公布。规划实施批前公示、批后公布图设计、公示公布牌制作具体要求如下：</w:t>
            </w:r>
          </w:p>
          <w:p>
            <w:pPr>
              <w:pStyle w:val="null3"/>
              <w:ind w:firstLine="480"/>
              <w:jc w:val="left"/>
            </w:pPr>
            <w:r>
              <w:rPr>
                <w:sz w:val="24"/>
              </w:rPr>
              <w:t>1.中标人提供专业的技术保障，所有操作须遵循城市规划及规划公示公布的技术规范和有关规定。</w:t>
            </w:r>
          </w:p>
          <w:p>
            <w:pPr>
              <w:pStyle w:val="null3"/>
              <w:ind w:firstLine="480"/>
              <w:jc w:val="left"/>
            </w:pPr>
            <w:r>
              <w:rPr>
                <w:sz w:val="24"/>
              </w:rPr>
              <w:t>2.中标人设计公示公布图并制牌，需符合《中华人民共和国城乡规划法》《广州市城乡规划程序规定》《广州市规划和自然资源局规划实施公示公布工作指引》《广州市规划和自然资源局规划实施公示公布图技术规范》等政策法规的要求。</w:t>
            </w:r>
          </w:p>
          <w:p>
            <w:pPr>
              <w:pStyle w:val="null3"/>
              <w:ind w:firstLine="480"/>
              <w:jc w:val="left"/>
            </w:pPr>
            <w:r>
              <w:rPr>
                <w:sz w:val="24"/>
              </w:rPr>
              <w:t>3.公示公布电子图要求不小于11905像素×8419像素，分辨率不小于72DPI。</w:t>
            </w:r>
          </w:p>
          <w:p>
            <w:pPr>
              <w:pStyle w:val="null3"/>
              <w:ind w:firstLine="480"/>
              <w:jc w:val="left"/>
            </w:pPr>
            <w:r>
              <w:rPr>
                <w:sz w:val="24"/>
              </w:rPr>
              <w:t>4.批前公示牌尺寸为160cm×120cm；建筑工程设计方案审查及调整的批后公布牌尺寸为160cm×120cm；建设工程规划许可证的批后公布牌尺寸为90cm×65cm；公示公布牌材质要求：20mm×20mm规格，2mm厚度，铝合金框架，5mm厚度加厚户外AD板，光面防水防晒户外背胶，防水光膜。</w:t>
            </w:r>
          </w:p>
          <w:p>
            <w:pPr>
              <w:pStyle w:val="null3"/>
              <w:ind w:firstLine="480"/>
              <w:jc w:val="left"/>
            </w:pPr>
            <w:r>
              <w:rPr>
                <w:sz w:val="24"/>
              </w:rPr>
              <w:t>5.服务时限和流程应当符合以下要求：</w:t>
            </w:r>
          </w:p>
          <w:p>
            <w:pPr>
              <w:pStyle w:val="null3"/>
              <w:ind w:firstLine="480"/>
              <w:jc w:val="left"/>
            </w:pPr>
            <w:r>
              <w:rPr>
                <w:sz w:val="24"/>
              </w:rPr>
              <w:t>（1）中标人在接到规划批前公示、批后公布工作任务起5个工作日内，完成批前公示、批后公布图初稿的设计，并提交给采购人业务部门审核。采购人业务部门审核后，要求作一般修改的（包括但不限于文字表述调整、增加公示起止日期等），需在收到修改意见后1个工作日内按照要求完成修改；要求作复杂修改的（包括但不限于指标修改、建筑布局调整等），需在收到修改意见后3个工作日内按照要求完成修改；并再次提交采购人业务部门审核。</w:t>
            </w:r>
          </w:p>
          <w:p>
            <w:pPr>
              <w:pStyle w:val="null3"/>
              <w:ind w:firstLine="480"/>
              <w:jc w:val="left"/>
            </w:pPr>
            <w:r>
              <w:rPr>
                <w:sz w:val="24"/>
              </w:rPr>
              <w:t>（2）在规划批前公示、批后公布图样稿经采购人业务部门审核通过后，1个工作日内完成批前公示、批后公布图定稿电子图的制作，打印1套批前公示、批后公布彩色定稿样图（特殊案件可根据具体需要对图纸的套数进行调整）提交给采购人业务部门复核。</w:t>
            </w:r>
          </w:p>
          <w:p>
            <w:pPr>
              <w:pStyle w:val="null3"/>
              <w:ind w:firstLine="480"/>
              <w:jc w:val="left"/>
            </w:pPr>
            <w:r>
              <w:rPr>
                <w:sz w:val="24"/>
              </w:rPr>
              <w:t>（3）彩色定稿样图通过采购人复核，并在相应电子图加盖电子印章后1个工作日内，完成公示、公布牌的喷绘、金属支架、AD底板及图面防水覆膜组装等全部制作和包装工作，并向采购人业务部门反馈制牌完成情况。</w:t>
            </w:r>
          </w:p>
          <w:p>
            <w:pPr>
              <w:pStyle w:val="null3"/>
              <w:ind w:firstLine="480"/>
              <w:jc w:val="left"/>
            </w:pPr>
            <w:r>
              <w:rPr>
                <w:sz w:val="24"/>
              </w:rPr>
              <w:t>（4）网上发布时间。通过规划公示公布系统平台将公示公布图电子版上传到广州市规划和自然资源局门户网站特定版面进行网上公布。其中批前公示应按照经办业务部门确定的公示起止日期、在政府部门作出决定前在广州市规划和自然资源局门户网站公示。批后公布应当送达之日起的15个工作日内在广州市规划和自然资源局门户网站上长期公布。</w:t>
            </w:r>
          </w:p>
          <w:p>
            <w:pPr>
              <w:pStyle w:val="null3"/>
              <w:ind w:firstLine="480"/>
              <w:jc w:val="left"/>
            </w:pPr>
            <w:r>
              <w:rPr>
                <w:sz w:val="24"/>
              </w:rPr>
              <w:t>6.规划批前公示、批后公布图面基本要素要求（包括但不限于以下要素，具体参照采购人提供的公示公布示例图）：</w:t>
            </w:r>
          </w:p>
          <w:p>
            <w:pPr>
              <w:pStyle w:val="null3"/>
              <w:ind w:firstLine="480"/>
              <w:jc w:val="left"/>
            </w:pPr>
            <w:r>
              <w:rPr>
                <w:sz w:val="24"/>
              </w:rPr>
              <w:t>（1）建设工程规划类许可证核发（建筑类）及调整批前公示：批前公示图上方的公示标题；左侧公示说明栏应包含项目立案号、公示时间、审批单位、建设单位名称、建设位置、公示内容简述、附注栏的信函反馈意见地址和批前公示查询网址等内容；项目方案应包含调整前后的总平面示意图、立面图、图例、指北针和比例尺等。其中既有住宅增设电梯批前公示还应包含电梯方案的平面图及根据《中华人民共和国民法典》第二百七十八条规定业主数量的同意增设电梯签名表等资料，危房原址重建批前公示应包含重建方案的平面图及剖面图。</w:t>
            </w:r>
          </w:p>
          <w:p>
            <w:pPr>
              <w:pStyle w:val="null3"/>
              <w:ind w:firstLine="480"/>
              <w:jc w:val="left"/>
            </w:pPr>
            <w:r>
              <w:rPr>
                <w:sz w:val="24"/>
              </w:rPr>
              <w:t>（2）建筑工程设计方案审查及调整批前公示：批前公示图上方的公示标题；左侧公示说明栏应包含项目立案号、公示时间、审批单位、建设单位名称、建设位置、公示内容简述、附注栏的信函反馈意见地址和批前公示查询网址等内容；项目方案应包含调整前后的总平面示意图、图例、指北针和比例尺等内容。</w:t>
            </w:r>
          </w:p>
          <w:p>
            <w:pPr>
              <w:pStyle w:val="null3"/>
              <w:ind w:firstLine="480"/>
              <w:jc w:val="left"/>
            </w:pPr>
            <w:r>
              <w:rPr>
                <w:sz w:val="24"/>
              </w:rPr>
              <w:t>（3）其他类型业务批前公示图基本要素由采购人业务部门参照上述（1）（2）项要求结合审批案件公示需要进行明确。</w:t>
            </w:r>
          </w:p>
          <w:p>
            <w:pPr>
              <w:pStyle w:val="null3"/>
              <w:ind w:firstLine="480"/>
              <w:jc w:val="left"/>
            </w:pPr>
            <w:r>
              <w:rPr>
                <w:sz w:val="24"/>
              </w:rPr>
              <w:t>（4）建设工程规划许可证及调整批后公布：公布图上方的公布标题；左侧公布说明栏的建设工程规划许可证号、审批单位、批准日期、建设单位名称、建设项目名称、建设位置、建设规模、计算容积率建筑面积、公建配套项目、附注栏的建设单位联系电话和查询网址；总平面示意图、图例、指北针和比例尺等。</w:t>
            </w:r>
          </w:p>
          <w:p>
            <w:pPr>
              <w:pStyle w:val="null3"/>
              <w:ind w:firstLine="480"/>
              <w:jc w:val="left"/>
            </w:pPr>
            <w:r>
              <w:rPr>
                <w:sz w:val="24"/>
              </w:rPr>
              <w:t>（5）建筑工程设计方案审查及调整批后公布：公布图上方的公布标题；左侧公布说明栏的审批单位、文件批准号、批准时间、建设单位名称、建设项目名称、建设位置、规划主要指标、公建配套项目、附注栏的绿地说明和查询网址；总平面示意图、图例、指北针和比例尺等。</w:t>
            </w:r>
          </w:p>
          <w:p>
            <w:pPr>
              <w:pStyle w:val="null3"/>
              <w:ind w:firstLine="480"/>
              <w:jc w:val="left"/>
            </w:pPr>
            <w:r>
              <w:rPr>
                <w:sz w:val="24"/>
              </w:rPr>
              <w:t>（6）其他类型业务批后公布图基本要素由采购人业务部门参考上述（4）（5）项要求结合审批案件公布需要进行明确。</w:t>
            </w:r>
          </w:p>
          <w:p>
            <w:pPr>
              <w:pStyle w:val="null3"/>
              <w:ind w:firstLine="480"/>
              <w:jc w:val="left"/>
            </w:pPr>
            <w:r>
              <w:rPr>
                <w:sz w:val="24"/>
              </w:rPr>
              <w:t>（二）同步开展线上线下公示公布工作。</w:t>
            </w:r>
          </w:p>
          <w:p>
            <w:pPr>
              <w:pStyle w:val="null3"/>
              <w:ind w:firstLine="480"/>
              <w:jc w:val="left"/>
            </w:pPr>
            <w:r>
              <w:rPr>
                <w:sz w:val="24"/>
              </w:rPr>
              <w:t>1.线下公示公布。按照采购人业务部门要求，在公示公布开始的日期之前，以短信或电话等方式通知建设单位领取现场公示牌，安排专人将公示公布牌运送到案件相应建设项目现场，告知建设单位规划公示公布牌现场挂放的要求和相关责任（现场公示牌应挂在现场显著位置并张贴封条，封条尺寸为60cm*20cm，封条上应加盖“广州市规划和自然资源局业务专用章”，公示公布牌上边沿距离地面的高度不得超过2.5米），与建设单位协同做好现场挂牌工作，并拍照记录现场挂牌情况。其中批前公示牌的公示期限为经办业务部门确定的公示起止日期。批后公布牌应自公布案件批准后及时在现场展示，公布期限应自建设项目首期工程开工之日起至工程全部建成后通过规划条件核实之日止，如建设单位收到通知后3个月内仍不领取公布牌，中标人应在批后公布案件批准后的3个月期限内的倒数3天前（按自然日计算）告知采购人和采购人业务经办部门。</w:t>
            </w:r>
          </w:p>
          <w:p>
            <w:pPr>
              <w:pStyle w:val="null3"/>
              <w:ind w:firstLine="480"/>
              <w:jc w:val="left"/>
            </w:pPr>
            <w:r>
              <w:rPr>
                <w:sz w:val="24"/>
              </w:rPr>
              <w:t xml:space="preserve"> 2.线上公示公布。通过规划公示公布系统平台及时将公示公布图电子版上传到广州市规划和自然资源局门户网站特定版面进行网上公布。其中批前公示应按照经办业务部门确定的公示起止日期、在政府部门作出决定前在广州市规划和自然资源局门户网站公示。批后公布应该送达之日起的15个工作日内在广州市规划和自然资源局门户网站上长期公布。</w:t>
            </w:r>
          </w:p>
          <w:p>
            <w:pPr>
              <w:pStyle w:val="null3"/>
              <w:ind w:firstLine="480"/>
              <w:jc w:val="left"/>
            </w:pPr>
            <w:r>
              <w:rPr>
                <w:sz w:val="24"/>
              </w:rPr>
              <w:t>（三）提供完整的规划实施批前公示、批后公布图电子数据。于完成制作公示、公布牌当日，将完整的规划实施批前公示图、批后公布图电子数据提供给采购人对应业务经办部门。</w:t>
            </w:r>
          </w:p>
          <w:p>
            <w:pPr>
              <w:pStyle w:val="null3"/>
              <w:ind w:firstLine="480"/>
              <w:jc w:val="left"/>
            </w:pPr>
            <w:r>
              <w:rPr>
                <w:sz w:val="24"/>
              </w:rPr>
              <w:t>（四）进行网上巡查。</w:t>
            </w:r>
          </w:p>
          <w:p>
            <w:pPr>
              <w:pStyle w:val="null3"/>
              <w:ind w:firstLine="480"/>
              <w:jc w:val="left"/>
            </w:pPr>
            <w:r>
              <w:rPr>
                <w:sz w:val="24"/>
              </w:rPr>
              <w:t>对已上网的公示公布信息进行日常巡查，巡查内容包括：公示公布信息是否及时发布、公示公布图是否正常显示、公示公布信息有无被篡改等，发现问题立即反馈，并与网站技术部门对接落实整改。</w:t>
            </w:r>
          </w:p>
          <w:p>
            <w:pPr>
              <w:pStyle w:val="null3"/>
              <w:ind w:firstLine="480"/>
              <w:jc w:val="left"/>
            </w:pPr>
            <w:r>
              <w:rPr>
                <w:sz w:val="24"/>
              </w:rPr>
              <w:t>（五）开展批前公示现场公示牌巡查工作。</w:t>
            </w:r>
          </w:p>
          <w:p>
            <w:pPr>
              <w:pStyle w:val="null3"/>
              <w:ind w:firstLine="480"/>
              <w:jc w:val="left"/>
            </w:pPr>
            <w:r>
              <w:rPr>
                <w:sz w:val="24"/>
              </w:rPr>
              <w:t>根据《广州市规划和自然资源局规划实施公示公布工作指引》和采购人业务经办部门要求进行现场巡查，每份批前公示案件公示期内开展不少于1次的现场巡查，对特殊案件需要多次现场巡查的，巡查人员应按采购人业务部门要求的时间和次数进行现场巡查。巡查人员需认真检查现场挂牌情况，填写现场巡查记录表，并拍摄现场公示牌巡查照片（照片要求清晰显示现场公示牌实时状况，如发现公示牌或封条曾被移动、涂改、缺失及损坏等情况时应拍摄局部特写）。每月第一周将上个月完成案件现场巡查记录表、相应现场巡查照片按案件汇总，报送给采购人相应业务部门存档。</w:t>
            </w:r>
          </w:p>
          <w:p>
            <w:pPr>
              <w:pStyle w:val="null3"/>
              <w:ind w:firstLine="480"/>
              <w:jc w:val="left"/>
            </w:pPr>
            <w:r>
              <w:rPr>
                <w:sz w:val="24"/>
              </w:rPr>
              <w:t>（六）将每宗公示公布案件的工作完成进度情况、现场挂牌情况更新记录到工作台账，每月第一周将上个月已完成案件的工作台账报送给采购人相应业务科室核对并签名确认。</w:t>
            </w:r>
          </w:p>
          <w:p>
            <w:pPr>
              <w:pStyle w:val="null3"/>
              <w:ind w:firstLine="480"/>
              <w:jc w:val="left"/>
            </w:pPr>
            <w:r>
              <w:rPr>
                <w:sz w:val="24"/>
              </w:rPr>
              <w:t>（七）如果由于审批制度改革等要求，规划实施公示公布的方式需要调整的，以调整后的要求为准。</w:t>
            </w:r>
          </w:p>
          <w:p>
            <w:pPr>
              <w:pStyle w:val="null3"/>
              <w:ind w:firstLine="480"/>
              <w:jc w:val="left"/>
            </w:pPr>
            <w:r>
              <w:rPr>
                <w:sz w:val="24"/>
              </w:rPr>
              <w:t>（八）除以上规定外，其他建设项目用地预审与选址意见书、建设用地规划许可、乡村建设规划许可等行政许可、行政审批事项按照有关规定需进行批前公示、批后公布的，由采购人业务部门根据案件公示公布需要向中标人明确公示公布图具体版面要素，中标人按采购人业务部门要求完成批前公示、批后公布图设计及制牌、协助现场挂牌、开展网上及现场巡查、提供完整公示公布图电子成果数据等相关工作。</w:t>
            </w:r>
          </w:p>
          <w:p>
            <w:pPr>
              <w:pStyle w:val="null3"/>
              <w:ind w:firstLine="480"/>
              <w:jc w:val="left"/>
            </w:pPr>
            <w:r>
              <w:rPr>
                <w:sz w:val="24"/>
              </w:rPr>
              <w:t>（九）特殊（紧急）任务要求：</w:t>
            </w:r>
          </w:p>
          <w:p>
            <w:pPr>
              <w:pStyle w:val="null3"/>
              <w:ind w:firstLine="480"/>
              <w:jc w:val="left"/>
            </w:pPr>
            <w:r>
              <w:rPr>
                <w:sz w:val="24"/>
              </w:rPr>
              <w:t>1.随时响应采购人的特殊要求，包括且不限于以下内容：协助修改规划实施批前公示和批后公布图及更改网上批前公示和批后公布相关信息；协助处理特殊业务案件规划批前公示。</w:t>
            </w:r>
          </w:p>
          <w:p>
            <w:pPr>
              <w:pStyle w:val="null3"/>
              <w:ind w:firstLine="480"/>
            </w:pPr>
            <w:r>
              <w:rPr>
                <w:sz w:val="24"/>
              </w:rPr>
              <w:t>2.特殊（紧急）任务服务时间响应要求：（1）采购人向中标人提出公示公布信息错误或者相关文证号变动等情况时，中标人必须在1个工作日内完成相关修改。若无法在1个工作日内完成相关修改工作的，需要立即与相关部门反映情况并落实其他修改办法。（2）若中标人无法解决采购人的相关修改要求，需及时向相关部门进行反馈，以免造成相关信息错误延续。</w:t>
            </w:r>
          </w:p>
        </w:tc>
      </w:tr>
      <w:tr>
        <w:tc>
          <w:tcPr>
            <w:tcW w:type="dxa" w:w="2076"/>
          </w:tcPr>
          <w:p/>
        </w:tc>
        <w:tc>
          <w:tcPr>
            <w:tcW w:type="dxa" w:w="415"/>
          </w:tcPr>
          <w:p>
            <w:pPr>
              <w:pStyle w:val="null3"/>
            </w:pPr>
            <w:r>
              <w:rPr/>
              <w:t>3</w:t>
            </w:r>
          </w:p>
        </w:tc>
        <w:tc>
          <w:tcPr>
            <w:tcW w:type="dxa" w:w="5814"/>
          </w:tcPr>
          <w:p>
            <w:pPr>
              <w:pStyle w:val="null3"/>
              <w:jc w:val="left"/>
            </w:pPr>
            <w:r>
              <w:rPr>
                <w:sz w:val="24"/>
                <w:b/>
              </w:rPr>
              <w:t>三、对中标人的要求</w:t>
            </w:r>
          </w:p>
          <w:p>
            <w:pPr>
              <w:pStyle w:val="null3"/>
              <w:ind w:firstLine="480"/>
              <w:jc w:val="left"/>
            </w:pPr>
            <w:r>
              <w:rPr>
                <w:sz w:val="24"/>
              </w:rPr>
              <w:t>（一）为支持和保障行政机关的工作效率，方便与采购人进行即时的沟通、审查、修改图纸及处理网上公示公布应急需求，中标人需安排1名人员提供驻场服务，对于部分急件应当按照采购人的要求当天内快速响应。同时，根据采购人需求，视情况增加1名人员提供驻场服务，驻场服务相关费用由中标人负责。</w:t>
            </w:r>
          </w:p>
          <w:p>
            <w:pPr>
              <w:pStyle w:val="null3"/>
              <w:ind w:firstLine="480"/>
              <w:jc w:val="left"/>
            </w:pPr>
            <w:r>
              <w:rPr>
                <w:sz w:val="24"/>
              </w:rPr>
              <w:t>（二）应具备良好的信息安全管理措施，遵守国家和省、市信息安全管理规范的要求。</w:t>
            </w:r>
          </w:p>
          <w:p>
            <w:pPr>
              <w:pStyle w:val="null3"/>
              <w:ind w:firstLine="480"/>
              <w:jc w:val="left"/>
            </w:pPr>
            <w:r>
              <w:rPr>
                <w:sz w:val="24"/>
              </w:rPr>
              <w:t>（三）熟悉国家、省、市城乡规划及建设工程设计相关法律法规和规范，具备相关资格及工作经验。项目服务人员具体要求如下：</w:t>
            </w:r>
          </w:p>
          <w:p>
            <w:pPr>
              <w:pStyle w:val="null3"/>
              <w:ind w:firstLine="480"/>
              <w:jc w:val="left"/>
            </w:pPr>
            <w:r>
              <w:rPr>
                <w:sz w:val="24"/>
              </w:rPr>
              <w:t>1.项目负责人要求具有本科或以上学历，且具有10年以上（含10年）从事规划公示公布设计工作经验（工作开始时间以大学本科或以上学历毕业证书发证日期为准），且具有城乡（市）规划专业高级工程师或建筑设计类专业高级工程师专业技术资格。项目负责人具有硕士学位和城乡（市）规划专业正高级（教授级）工程师或建筑设计类专业正高级（教授级）工程师专业技术职称为佳。</w:t>
            </w:r>
          </w:p>
          <w:p>
            <w:pPr>
              <w:pStyle w:val="null3"/>
              <w:ind w:firstLine="480"/>
              <w:jc w:val="left"/>
            </w:pPr>
            <w:r>
              <w:rPr>
                <w:sz w:val="24"/>
              </w:rPr>
              <w:t>2.项目主要技术人员要求：至少2名具有5年（含5年，工作开始时间以大学本科毕业证书发证日期为准）以上从事规划公示公布设计工作经验，具有城乡（市）规划工程师（或以上）技术职称，或建筑设计类工程师（或以上）技术职称的专业技术人员；至少5名具有本科或以上学历，具有3年以上（含3年，工作开始时间以大学本科毕业证书发证日期为准）相关设计工作经验专业技术人员，且其中至少2名须具有城乡（市）规划专业工程师（或以上）技术职称或建筑设计类专业工程师（或以上）技术职称。</w:t>
            </w:r>
          </w:p>
          <w:p>
            <w:pPr>
              <w:pStyle w:val="null3"/>
              <w:ind w:firstLine="480"/>
            </w:pPr>
            <w:r>
              <w:rPr>
                <w:sz w:val="24"/>
              </w:rPr>
              <w:t>3.原则上中标人所提供的上述人员（项目负责人、项目主要技术人员）不得随意更换或调整，确因特殊原因（如离职、健康问题等不可抗力因素）导致需要调换的，须在调换前5个工作日向采购人提出申请说明，经采购人同意后方可进行调整，更换后的相关人员必须同等或优于原人员的条件。在服务期内，如采购人发现中标人所派的人员不符合要求的，采购人有权要求中标人立即更换相应人员，否则有权终止合同，并追究中标人的违约责任。</w:t>
            </w:r>
          </w:p>
        </w:tc>
      </w:tr>
      <w:tr>
        <w:tc>
          <w:tcPr>
            <w:tcW w:type="dxa" w:w="2076"/>
          </w:tcPr>
          <w:p/>
        </w:tc>
        <w:tc>
          <w:tcPr>
            <w:tcW w:type="dxa" w:w="415"/>
          </w:tcPr>
          <w:p>
            <w:pPr>
              <w:pStyle w:val="null3"/>
            </w:pPr>
            <w:r>
              <w:rPr/>
              <w:t>4</w:t>
            </w:r>
          </w:p>
        </w:tc>
        <w:tc>
          <w:tcPr>
            <w:tcW w:type="dxa" w:w="5814"/>
          </w:tcPr>
          <w:p>
            <w:pPr>
              <w:pStyle w:val="null3"/>
              <w:jc w:val="left"/>
            </w:pPr>
            <w:r>
              <w:rPr>
                <w:sz w:val="24"/>
                <w:b/>
              </w:rPr>
              <w:t>四、其他要求</w:t>
            </w:r>
          </w:p>
          <w:p>
            <w:pPr>
              <w:pStyle w:val="null3"/>
              <w:ind w:firstLine="480"/>
              <w:jc w:val="left"/>
            </w:pPr>
            <w:r>
              <w:rPr>
                <w:sz w:val="24"/>
              </w:rPr>
              <w:t>（一）本项目服务期自2025年7月1日至2026年6月30日。</w:t>
            </w:r>
          </w:p>
          <w:p>
            <w:pPr>
              <w:pStyle w:val="null3"/>
              <w:ind w:firstLine="480"/>
              <w:jc w:val="left"/>
            </w:pPr>
            <w:r>
              <w:rPr>
                <w:sz w:val="24"/>
              </w:rPr>
              <w:t>（二）在中标人完成项目服务工作，通过市规划和自然资源局白云区分局组织的项目评审，并按市规划和自然资源局白云区分局要求完成项目档案归档工作后，方可视为完成项目。</w:t>
            </w:r>
          </w:p>
          <w:p>
            <w:pPr>
              <w:pStyle w:val="null3"/>
              <w:ind w:firstLine="480"/>
              <w:jc w:val="left"/>
            </w:pPr>
            <w:r>
              <w:rPr>
                <w:sz w:val="24"/>
              </w:rPr>
              <w:t>（三）中标人未按时响应或未能按承诺要求完成项目工作时应当承担违约责任，广州市规划和自然资源局白云区分局（广州市白云区林业局）有权取消其服务资格，中标人必须按照广州市规划和自然资源局白云区分局（广州市白云区林业局）的要求，移交相关工作资料。如造成重大影响的（如造成信访问题、造成负面新闻效果、泄露保密事项、错漏业务件等），根据情节严重程度，中标人应每宗支付广州市规划和自然资源局白云区分局（广州市白云区林业局）合同价的1-5%的违约金。</w:t>
            </w:r>
          </w:p>
          <w:p>
            <w:pPr>
              <w:pStyle w:val="null3"/>
              <w:ind w:firstLine="480"/>
            </w:pPr>
            <w:r>
              <w:rPr>
                <w:sz w:val="24"/>
              </w:rPr>
              <w:t>（四）中标人不得将本项目外包、分包其他任何第三方，否则广州市规划和自然资源局白云区分局（广州市白云区林业局）有权解除合同，并要求中标人赔偿采购预算20%的违约金。</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广州市规划和自然资源局白云区分局（广州市白云区林业局）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下半年至2026年上半年规划实施公示公布工作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采购包1（2025年下半年至2026年上半年规划实施公示公布工作项目）：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采购包1（2025年下半年至2026年上半年规划实施公示公布工作项目）：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整体专门面向中小企业采购。投标人须符合本项目采购标的对应行业（本项目行业为：其他未列明行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采购包1（2025年下半年至2026年上半年规划实施公示公布工作项目）：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人须对“单宗规划实施批前公示”和“单宗规划实施批后公布”作出统一的折扣率报价，折扣率必须为固定报价，不接受区间报价（如10%-20%），折扣率报价范围：0%&lt;折扣率≤100%，凡超出报价范围的投标报价均视为无效报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采购包1(2025年下半年至2026年上半年规划实施公示公布工作项目):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对项目背景和基本情况的分析A (2.0分)</w:t>
            </w:r>
          </w:p>
        </w:tc>
        <w:tc>
          <w:tcPr>
            <w:tcW w:type="dxa" w:w="5076"/>
          </w:tcPr>
          <w:p>
            <w:pPr>
              <w:pStyle w:val="null3"/>
              <w:jc w:val="left"/>
            </w:pPr>
            <w:r>
              <w:rPr/>
              <w:t>投标人提供了对项目背景和基本情况的分析方案，有得1分，无得0分。 投标人提供对项目背景和基本情况的分析方案，包括了①项目背景解读；②对规划部门公示流程的解读；③项目基本情况分析。满足得1分，未提供或方案未能同时包括以上内容全部内容的，得0分。 不提供方案的，对项目背景和基本情况的分析A,B项均不得分。</w:t>
            </w:r>
          </w:p>
        </w:tc>
      </w:tr>
      <w:tr>
        <w:tc>
          <w:tcPr>
            <w:tcW w:type="dxa" w:w="922"/>
            <w:gridSpan w:val="2"/>
            <w:vMerge/>
          </w:tcPr>
          <w:p/>
        </w:tc>
        <w:tc>
          <w:tcPr>
            <w:tcW w:type="dxa" w:w="2307"/>
          </w:tcPr>
          <w:p>
            <w:pPr>
              <w:pStyle w:val="null3"/>
              <w:jc w:val="left"/>
            </w:pPr>
            <w:r>
              <w:rPr/>
              <w:t>对项目背景和基本情况的分析B (8.0分)</w:t>
            </w:r>
          </w:p>
        </w:tc>
        <w:tc>
          <w:tcPr>
            <w:tcW w:type="dxa" w:w="5076"/>
          </w:tcPr>
          <w:p>
            <w:pPr>
              <w:pStyle w:val="null3"/>
              <w:jc w:val="left"/>
            </w:pPr>
            <w:r>
              <w:rPr/>
              <w:t>对项目背景和基本情况的分析完全满足且优于采购需求得8分，满足采购需求得5分，部分满足采购需求得2分，其他情况或无响应得0分。</w:t>
            </w:r>
          </w:p>
        </w:tc>
      </w:tr>
      <w:tr>
        <w:tc>
          <w:tcPr>
            <w:tcW w:type="dxa" w:w="922"/>
            <w:gridSpan w:val="2"/>
            <w:vMerge/>
          </w:tcPr>
          <w:p/>
        </w:tc>
        <w:tc>
          <w:tcPr>
            <w:tcW w:type="dxa" w:w="2307"/>
          </w:tcPr>
          <w:p>
            <w:pPr>
              <w:pStyle w:val="null3"/>
              <w:jc w:val="left"/>
            </w:pPr>
            <w:r>
              <w:rPr/>
              <w:t>项目重点难点分析A (2.0分)</w:t>
            </w:r>
          </w:p>
        </w:tc>
        <w:tc>
          <w:tcPr>
            <w:tcW w:type="dxa" w:w="5076"/>
          </w:tcPr>
          <w:p>
            <w:pPr>
              <w:pStyle w:val="null3"/>
              <w:jc w:val="left"/>
            </w:pPr>
            <w:r>
              <w:rPr/>
              <w:t>投标人提供了项目重点难点分析方案，有得1分，无得0分。 投标人提供项目重点难点分析方案，包括了①重点难点问题的理解认识；②措施建议；满足得1分，未提供或方案未能同时包括以上内容全部内容的，得0分。 不提供方案的，项目重点难点分析A,B项均不得分。</w:t>
            </w:r>
          </w:p>
        </w:tc>
      </w:tr>
      <w:tr>
        <w:tc>
          <w:tcPr>
            <w:tcW w:type="dxa" w:w="922"/>
            <w:gridSpan w:val="2"/>
            <w:vMerge/>
          </w:tcPr>
          <w:p/>
        </w:tc>
        <w:tc>
          <w:tcPr>
            <w:tcW w:type="dxa" w:w="2307"/>
          </w:tcPr>
          <w:p>
            <w:pPr>
              <w:pStyle w:val="null3"/>
              <w:jc w:val="left"/>
            </w:pPr>
            <w:r>
              <w:rPr/>
              <w:t>项目重点难点分析B (8.0分)</w:t>
            </w:r>
          </w:p>
        </w:tc>
        <w:tc>
          <w:tcPr>
            <w:tcW w:type="dxa" w:w="5076"/>
          </w:tcPr>
          <w:p>
            <w:pPr>
              <w:pStyle w:val="null3"/>
              <w:jc w:val="left"/>
            </w:pPr>
            <w:r>
              <w:rPr/>
              <w:t>项目重点难点分析完全满足且优于采购需求得8分，满足采购需求得5分，部分满足采购需求得2分，其他情况或无响应得0分。</w:t>
            </w:r>
          </w:p>
        </w:tc>
      </w:tr>
      <w:tr>
        <w:tc>
          <w:tcPr>
            <w:tcW w:type="dxa" w:w="922"/>
            <w:gridSpan w:val="2"/>
            <w:vMerge/>
          </w:tcPr>
          <w:p/>
        </w:tc>
        <w:tc>
          <w:tcPr>
            <w:tcW w:type="dxa" w:w="2307"/>
          </w:tcPr>
          <w:p>
            <w:pPr>
              <w:pStyle w:val="null3"/>
              <w:jc w:val="left"/>
            </w:pPr>
            <w:r>
              <w:rPr/>
              <w:t>技术服务方案A (3.0分)</w:t>
            </w:r>
          </w:p>
        </w:tc>
        <w:tc>
          <w:tcPr>
            <w:tcW w:type="dxa" w:w="5076"/>
          </w:tcPr>
          <w:p>
            <w:pPr>
              <w:pStyle w:val="null3"/>
              <w:jc w:val="left"/>
            </w:pPr>
            <w:r>
              <w:rPr/>
              <w:t>投标人提供了技术服务方案，有得1分，无得0分。 投标人提供技术服务方案，包括了①对各类规划批前公示、批后公布图设计及公示牌制作；②同步开展线上线下公示公布工作；③规划实施批前公示、批后公布图电子数据（录入广州市规划和自然资源局办公自动化系统）；④网上巡查；⑤批前公示现场公示牌巡查工作。满足得2分，未提供或方案未能同时包括以上内容全部内容的，得0分。 不提供方案的，技术服务方案A,B项均不得分。</w:t>
            </w:r>
          </w:p>
        </w:tc>
      </w:tr>
      <w:tr>
        <w:tc>
          <w:tcPr>
            <w:tcW w:type="dxa" w:w="922"/>
            <w:gridSpan w:val="2"/>
            <w:vMerge/>
          </w:tcPr>
          <w:p/>
        </w:tc>
        <w:tc>
          <w:tcPr>
            <w:tcW w:type="dxa" w:w="2307"/>
          </w:tcPr>
          <w:p>
            <w:pPr>
              <w:pStyle w:val="null3"/>
              <w:jc w:val="left"/>
            </w:pPr>
            <w:r>
              <w:rPr/>
              <w:t>技术服务方案B (12.0分)</w:t>
            </w:r>
          </w:p>
        </w:tc>
        <w:tc>
          <w:tcPr>
            <w:tcW w:type="dxa" w:w="5076"/>
          </w:tcPr>
          <w:p>
            <w:pPr>
              <w:pStyle w:val="null3"/>
              <w:jc w:val="left"/>
            </w:pPr>
            <w:r>
              <w:rPr/>
              <w:t>技术服务方案完全满足且优于采购需求得12分，满足采购需求得8分，部分满足采购需求得4分，其他情况或无响应得0分。</w:t>
            </w:r>
          </w:p>
        </w:tc>
      </w:tr>
      <w:tr>
        <w:tc>
          <w:tcPr>
            <w:tcW w:type="dxa" w:w="922"/>
            <w:gridSpan w:val="2"/>
            <w:vMerge/>
          </w:tcPr>
          <w:p/>
        </w:tc>
        <w:tc>
          <w:tcPr>
            <w:tcW w:type="dxa" w:w="2307"/>
          </w:tcPr>
          <w:p>
            <w:pPr>
              <w:pStyle w:val="null3"/>
              <w:jc w:val="left"/>
            </w:pPr>
            <w:r>
              <w:rPr/>
              <w:t>对特殊任务的服务方案A (2.0分)</w:t>
            </w:r>
          </w:p>
        </w:tc>
        <w:tc>
          <w:tcPr>
            <w:tcW w:type="dxa" w:w="5076"/>
          </w:tcPr>
          <w:p>
            <w:pPr>
              <w:pStyle w:val="null3"/>
              <w:jc w:val="left"/>
            </w:pPr>
            <w:r>
              <w:rPr/>
              <w:t>投标人提供了对特殊任务的服务方案，有得1分，无得0分。 投标人提供对特殊任务的服务方案，包括了①服务内容；②服务时间响应；③服务质量保障措施。满足得1分，未提供或方案未能同时包括以上内容全部内容的，得0分。 不提供方案的，对特殊任务的服务方案A,B项均不得分。</w:t>
            </w:r>
          </w:p>
        </w:tc>
      </w:tr>
      <w:tr>
        <w:tc>
          <w:tcPr>
            <w:tcW w:type="dxa" w:w="922"/>
            <w:gridSpan w:val="2"/>
            <w:vMerge/>
          </w:tcPr>
          <w:p/>
        </w:tc>
        <w:tc>
          <w:tcPr>
            <w:tcW w:type="dxa" w:w="2307"/>
          </w:tcPr>
          <w:p>
            <w:pPr>
              <w:pStyle w:val="null3"/>
              <w:jc w:val="left"/>
            </w:pPr>
            <w:r>
              <w:rPr/>
              <w:t>对特殊任务的服务方案B (6.0分)</w:t>
            </w:r>
          </w:p>
        </w:tc>
        <w:tc>
          <w:tcPr>
            <w:tcW w:type="dxa" w:w="5076"/>
          </w:tcPr>
          <w:p>
            <w:pPr>
              <w:pStyle w:val="null3"/>
              <w:jc w:val="left"/>
            </w:pPr>
            <w:r>
              <w:rPr/>
              <w:t>对特殊任务的服务方案完全满足且优于采购需求得6分，满足采购需求得4分，部分满足采购需求得2分，其他情况或无响应得0分。</w:t>
            </w:r>
          </w:p>
        </w:tc>
      </w:tr>
      <w:tr>
        <w:tc>
          <w:tcPr>
            <w:tcW w:type="dxa" w:w="922"/>
            <w:gridSpan w:val="2"/>
            <w:vMerge/>
          </w:tcPr>
          <w:p/>
        </w:tc>
        <w:tc>
          <w:tcPr>
            <w:tcW w:type="dxa" w:w="2307"/>
          </w:tcPr>
          <w:p>
            <w:pPr>
              <w:pStyle w:val="null3"/>
              <w:jc w:val="left"/>
            </w:pPr>
            <w:r>
              <w:rPr/>
              <w:t>工作组织、工作进度计划A (2.0分)</w:t>
            </w:r>
          </w:p>
        </w:tc>
        <w:tc>
          <w:tcPr>
            <w:tcW w:type="dxa" w:w="5076"/>
          </w:tcPr>
          <w:p>
            <w:pPr>
              <w:pStyle w:val="null3"/>
              <w:jc w:val="left"/>
            </w:pPr>
            <w:r>
              <w:rPr/>
              <w:t>投标人提供了工作组织、工作进度计划，有得1分，无得0分。 投标人提供工作组织、工作进度计划，包括了①工作组织；②工作进度计划；满足得1分，未提供或方案未能同时包括以上内容全部内容的，得0分。 不提供方案的，工作组织、工作进度计划A,B项均不得分。</w:t>
            </w:r>
          </w:p>
        </w:tc>
      </w:tr>
      <w:tr>
        <w:tc>
          <w:tcPr>
            <w:tcW w:type="dxa" w:w="922"/>
            <w:gridSpan w:val="2"/>
            <w:vMerge/>
          </w:tcPr>
          <w:p/>
        </w:tc>
        <w:tc>
          <w:tcPr>
            <w:tcW w:type="dxa" w:w="2307"/>
          </w:tcPr>
          <w:p>
            <w:pPr>
              <w:pStyle w:val="null3"/>
              <w:jc w:val="left"/>
            </w:pPr>
            <w:r>
              <w:rPr/>
              <w:t>工作组织、工作进度计划B (4.0分)</w:t>
            </w:r>
          </w:p>
        </w:tc>
        <w:tc>
          <w:tcPr>
            <w:tcW w:type="dxa" w:w="5076"/>
          </w:tcPr>
          <w:p>
            <w:pPr>
              <w:pStyle w:val="null3"/>
              <w:jc w:val="left"/>
            </w:pPr>
            <w:r>
              <w:rPr/>
              <w:t>工作组织、工作进度计划完全满足且优于采购需求得4分，满足采购需求得2分，部分满足采购需求得1分，其他情况或无响应得0分。</w:t>
            </w:r>
          </w:p>
        </w:tc>
      </w:tr>
      <w:tr>
        <w:tc>
          <w:tcPr>
            <w:tcW w:type="dxa" w:w="922"/>
            <w:gridSpan w:val="2"/>
            <w:vMerge/>
          </w:tcPr>
          <w:p/>
        </w:tc>
        <w:tc>
          <w:tcPr>
            <w:tcW w:type="dxa" w:w="2307"/>
          </w:tcPr>
          <w:p>
            <w:pPr>
              <w:pStyle w:val="null3"/>
              <w:jc w:val="left"/>
            </w:pPr>
            <w:r>
              <w:rPr/>
              <w:t>质量、技术保障以及后期服务措施A (2.0分)</w:t>
            </w:r>
          </w:p>
        </w:tc>
        <w:tc>
          <w:tcPr>
            <w:tcW w:type="dxa" w:w="5076"/>
          </w:tcPr>
          <w:p>
            <w:pPr>
              <w:pStyle w:val="null3"/>
              <w:jc w:val="left"/>
            </w:pPr>
            <w:r>
              <w:rPr/>
              <w:t>投标人提供了质量、技术保障以及后期服务措施，有得1分，无得0分。 投标人提供质量、技术保障以及后期服务措施，包括了①质量保障措施；②技术保障措施；③后期服务措施；满足得1分，未提供或方案未能同时包括以上内容全部内容的，得0分。 不提供方案的，质量、技术保障以及后期服务措施A,B项均不得分。</w:t>
            </w:r>
          </w:p>
        </w:tc>
      </w:tr>
      <w:tr>
        <w:tc>
          <w:tcPr>
            <w:tcW w:type="dxa" w:w="922"/>
            <w:gridSpan w:val="2"/>
            <w:vMerge/>
          </w:tcPr>
          <w:p/>
        </w:tc>
        <w:tc>
          <w:tcPr>
            <w:tcW w:type="dxa" w:w="2307"/>
          </w:tcPr>
          <w:p>
            <w:pPr>
              <w:pStyle w:val="null3"/>
              <w:jc w:val="left"/>
            </w:pPr>
            <w:r>
              <w:rPr/>
              <w:t>质量、技术保障以及后期服务措施B (4.0分)</w:t>
            </w:r>
          </w:p>
        </w:tc>
        <w:tc>
          <w:tcPr>
            <w:tcW w:type="dxa" w:w="5076"/>
          </w:tcPr>
          <w:p>
            <w:pPr>
              <w:pStyle w:val="null3"/>
              <w:jc w:val="left"/>
            </w:pPr>
            <w:r>
              <w:rPr/>
              <w:t>质量、技术保障以及后期服务措施完全满足且优于采购需求得4分，满足采购需求得2分，部分满足采购需求得1分，其他情况或无响应得0分。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同类业绩经验 (7.0分)</w:t>
            </w:r>
          </w:p>
        </w:tc>
        <w:tc>
          <w:tcPr>
            <w:tcW w:type="dxa" w:w="5076"/>
          </w:tcPr>
          <w:p>
            <w:pPr>
              <w:pStyle w:val="null3"/>
              <w:jc w:val="left"/>
            </w:pPr>
            <w:r>
              <w:rPr/>
              <w:t>2021年1月1日至投标截止时间止，承担过规划批前公示或批后公布项目的，每个得1分，本项最高得分7分。 注：须提供合同（或协议）关键页（包括但不限于：合同（或协议）首页、合同（或协议）内容页、合同（或协议）期页及盖章页）扫描件。时间以合同（或协议）签订时间为准。不符合或未按要求提供资料证明的不得分。</w:t>
            </w:r>
          </w:p>
        </w:tc>
      </w:tr>
      <w:tr>
        <w:tc>
          <w:tcPr>
            <w:tcW w:type="dxa" w:w="922"/>
            <w:gridSpan w:val="2"/>
            <w:vMerge/>
          </w:tcPr>
          <w:p/>
        </w:tc>
        <w:tc>
          <w:tcPr>
            <w:tcW w:type="dxa" w:w="2307"/>
          </w:tcPr>
          <w:p>
            <w:pPr>
              <w:pStyle w:val="null3"/>
              <w:jc w:val="left"/>
            </w:pPr>
            <w:r>
              <w:rPr/>
              <w:t>项目负责人的综合实力 (9.0分)</w:t>
            </w:r>
          </w:p>
        </w:tc>
        <w:tc>
          <w:tcPr>
            <w:tcW w:type="dxa" w:w="5076"/>
          </w:tcPr>
          <w:p>
            <w:pPr>
              <w:pStyle w:val="null3"/>
              <w:jc w:val="left"/>
            </w:pPr>
            <w:r>
              <w:rPr/>
              <w:t>1、项目负责人具有硕士（或以上）学位的，得2分；具有大学本科（全日制）学历的，得1分；其它情况的不得分，本小项最高得2分； 2、项目负责人具有10年以上（含10年）工作经验的，得2分；项目负责人具有15年以上（含15年）工作经验的，得4分；其它情况的不得分，本小项最高得4分； 3、项目负责人具有城市（乡）规划或建筑设计类专业正高级（教授级）工程师职称的，得3分；具有城市（乡）规划或建筑设计类专业高级（副高）工程师职称的，得2分；其它情况的不得分，本小项最高得3分。 注：本项累计最高得分9分。须提供上述人员职称证书、学历证书、身份证及近三个月（扣除发布公告当月往前顺推）内任意一个月的社保缴纳证明扫描件或劳动合同扫描件。工作经验从毕业证书（全日制大学本科（或以上）证书）的核发时间或毕业时间开始计算。不符合或未按要求提供资料证明的不得分。</w:t>
            </w:r>
          </w:p>
        </w:tc>
      </w:tr>
      <w:tr>
        <w:tc>
          <w:tcPr>
            <w:tcW w:type="dxa" w:w="922"/>
            <w:gridSpan w:val="2"/>
            <w:vMerge/>
          </w:tcPr>
          <w:p/>
        </w:tc>
        <w:tc>
          <w:tcPr>
            <w:tcW w:type="dxa" w:w="2307"/>
          </w:tcPr>
          <w:p>
            <w:pPr>
              <w:pStyle w:val="null3"/>
              <w:jc w:val="left"/>
            </w:pPr>
            <w:r>
              <w:rPr/>
              <w:t>主要技术人员情况（不含项目负责人） (14.0分)</w:t>
            </w:r>
          </w:p>
        </w:tc>
        <w:tc>
          <w:tcPr>
            <w:tcW w:type="dxa" w:w="5076"/>
          </w:tcPr>
          <w:p>
            <w:pPr>
              <w:pStyle w:val="null3"/>
              <w:jc w:val="left"/>
            </w:pPr>
            <w:r>
              <w:rPr/>
              <w:t>1、主要技术人员：具有5年（含5年）以上从事规划公示公布设计工作经验且具有城市（乡）规划或建筑设计类专业中级工程师（或以上）技术职称的，每人得3分，其它情况不得分；本小项最高得6分； 2、其他技术人员：具有全日制本科（或以上）学历，且具有3年（含3年）以上相关规划公示公布设计工作经验的，每人得1分，最高得5分；如上述人员具有城市（乡）规划或建筑设计类专业中级工程师（或以上）技术职称的，每人加1.5分，最多加3分。 注：人员情况不重复计分。须提供上述人员职称证书、学历证书、身份证及近三个月（扣除发布公告当月往前顺推）内任意一个月的社保缴纳证明扫描件或劳动合同扫描件。工作经验从毕业证书（全日制大学本科（或以上）证书）的核发时间或毕业时间开始计算。不符合或未按要求提供资料证明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firstLine="420"/>
      </w:pPr>
      <w:r>
        <w:rPr>
          <w:sz w:val="24"/>
        </w:rPr>
        <w:t>合同编号：</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1040"/>
        <w:jc w:val="center"/>
      </w:pPr>
      <w:r>
        <w:rPr>
          <w:sz w:val="54"/>
          <w:b/>
        </w:rPr>
        <w:t>技  术  服  务  合  同</w:t>
      </w:r>
    </w:p>
    <w:p>
      <w:pPr>
        <w:pStyle w:val="null3"/>
        <w:jc w:val="center"/>
      </w:pPr>
      <w:r>
        <w:rPr/>
        <w:t xml:space="preserve"> </w:t>
      </w:r>
    </w:p>
    <w:p>
      <w:pPr>
        <w:pStyle w:val="null3"/>
        <w:jc w:val="center"/>
      </w:pPr>
      <w:r>
        <w:rPr/>
        <w:t xml:space="preserve"> </w:t>
      </w:r>
    </w:p>
    <w:p>
      <w:pPr>
        <w:pStyle w:val="null3"/>
        <w:jc w:val="center"/>
      </w:pPr>
      <w:r>
        <w:rPr>
          <w:sz w:val="42"/>
          <w:b/>
        </w:rPr>
        <w:t>（本合同为中小企业预留合同）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720"/>
        <w:jc w:val="center"/>
      </w:pPr>
      <w:r>
        <w:rPr>
          <w:sz w:val="27"/>
        </w:rPr>
        <w:t>项目名称：</w:t>
      </w:r>
      <w:r>
        <w:rPr>
          <w:sz w:val="27"/>
          <w:u w:val="single"/>
        </w:rPr>
        <w:t>2025年下半年至2026年上半年规划实施公示公布工作项目</w:t>
      </w:r>
    </w:p>
    <w:p>
      <w:pPr>
        <w:pStyle w:val="null3"/>
        <w:ind w:firstLine="640"/>
        <w:jc w:val="left"/>
      </w:pPr>
      <w:r>
        <w:rPr/>
        <w:t xml:space="preserve"> </w:t>
      </w:r>
    </w:p>
    <w:p>
      <w:pPr>
        <w:pStyle w:val="null3"/>
        <w:ind w:firstLine="640"/>
        <w:jc w:val="both"/>
      </w:pPr>
      <w:r>
        <w:rPr>
          <w:sz w:val="27"/>
        </w:rPr>
        <w:t>委 托 方：</w:t>
      </w:r>
      <w:r>
        <w:rPr>
          <w:sz w:val="27"/>
          <w:u w:val="single"/>
        </w:rPr>
        <w:t>广州市规划和自然资源局白云区分局（广州市白云区林业局）</w:t>
      </w:r>
    </w:p>
    <w:p>
      <w:pPr>
        <w:pStyle w:val="null3"/>
        <w:ind w:firstLine="640"/>
        <w:jc w:val="both"/>
      </w:pPr>
      <w:r>
        <w:rPr>
          <w:sz w:val="27"/>
        </w:rPr>
        <w:t>（甲方）</w:t>
      </w:r>
    </w:p>
    <w:p>
      <w:pPr>
        <w:pStyle w:val="null3"/>
        <w:ind w:firstLine="640"/>
        <w:jc w:val="both"/>
      </w:pPr>
      <w:r>
        <w:rPr/>
        <w:t xml:space="preserve"> </w:t>
      </w:r>
    </w:p>
    <w:p>
      <w:pPr>
        <w:pStyle w:val="null3"/>
        <w:ind w:firstLine="640"/>
        <w:jc w:val="both"/>
      </w:pPr>
      <w:r>
        <w:rPr>
          <w:sz w:val="27"/>
        </w:rPr>
        <w:t>受 托 方：</w:t>
      </w:r>
    </w:p>
    <w:p>
      <w:pPr>
        <w:pStyle w:val="null3"/>
        <w:ind w:firstLine="640"/>
        <w:jc w:val="both"/>
      </w:pPr>
      <w:r>
        <w:rPr>
          <w:sz w:val="27"/>
        </w:rPr>
        <w:t>（乙方）</w:t>
      </w:r>
    </w:p>
    <w:p>
      <w:pPr>
        <w:pStyle w:val="null3"/>
        <w:ind w:firstLine="640"/>
        <w:jc w:val="both"/>
      </w:pPr>
      <w:r>
        <w:rPr/>
        <w:t xml:space="preserve"> </w:t>
      </w:r>
    </w:p>
    <w:p>
      <w:pPr>
        <w:pStyle w:val="null3"/>
        <w:ind w:firstLine="640"/>
        <w:jc w:val="both"/>
      </w:pPr>
      <w:r>
        <w:rPr/>
        <w:t xml:space="preserve"> </w:t>
      </w:r>
    </w:p>
    <w:p>
      <w:pPr>
        <w:pStyle w:val="null3"/>
        <w:ind w:firstLine="640"/>
        <w:jc w:val="both"/>
      </w:pPr>
      <w:r>
        <w:rPr>
          <w:sz w:val="27"/>
        </w:rPr>
        <w:t>签订时间：</w:t>
      </w:r>
    </w:p>
    <w:p>
      <w:pPr>
        <w:pStyle w:val="null3"/>
        <w:ind w:firstLine="640"/>
        <w:jc w:val="both"/>
      </w:pPr>
      <w:r>
        <w:rPr/>
        <w:t xml:space="preserve"> </w:t>
      </w:r>
    </w:p>
    <w:p>
      <w:pPr>
        <w:pStyle w:val="null3"/>
        <w:ind w:firstLine="640"/>
        <w:jc w:val="both"/>
      </w:pPr>
      <w:r>
        <w:rPr>
          <w:sz w:val="27"/>
        </w:rPr>
        <w:t>签订地点：</w:t>
      </w:r>
      <w:r>
        <w:rPr>
          <w:sz w:val="27"/>
          <w:u w:val="single"/>
        </w:rPr>
        <w:t xml:space="preserve">         广东省广州市         </w:t>
      </w:r>
    </w:p>
    <w:p>
      <w:pPr>
        <w:pStyle w:val="null3"/>
        <w:ind w:firstLine="640"/>
        <w:jc w:val="both"/>
      </w:pPr>
      <w:r>
        <w:rPr/>
        <w:t xml:space="preserve"> </w:t>
      </w:r>
    </w:p>
    <w:p>
      <w:pPr>
        <w:pStyle w:val="null3"/>
        <w:ind w:firstLine="640"/>
        <w:jc w:val="both"/>
      </w:pPr>
      <w:r>
        <w:rPr/>
        <w:t xml:space="preserve"> </w:t>
      </w:r>
    </w:p>
    <w:p>
      <w:pPr>
        <w:pStyle w:val="null3"/>
        <w:ind w:firstLine="640"/>
        <w:jc w:val="both"/>
      </w:pPr>
      <w:r>
        <w:rPr/>
        <w:t xml:space="preserve"> </w:t>
      </w:r>
    </w:p>
    <w:p>
      <w:pPr>
        <w:pStyle w:val="null3"/>
        <w:ind w:firstLine="640"/>
        <w:jc w:val="both"/>
      </w:pPr>
      <w:r>
        <w:rPr/>
        <w:t xml:space="preserve"> </w:t>
      </w:r>
    </w:p>
    <w:p>
      <w:pPr>
        <w:pStyle w:val="null3"/>
        <w:ind w:firstLine="640"/>
        <w:jc w:val="both"/>
      </w:pPr>
      <w:r>
        <w:rPr/>
        <w:t xml:space="preserve"> </w:t>
      </w:r>
    </w:p>
    <w:p>
      <w:pPr>
        <w:pStyle w:val="null3"/>
        <w:ind w:firstLine="600"/>
        <w:jc w:val="both"/>
      </w:pPr>
      <w:r>
        <w:rPr/>
        <w:t xml:space="preserve"> </w:t>
      </w:r>
    </w:p>
    <w:p>
      <w:pPr>
        <w:pStyle w:val="null3"/>
        <w:ind w:firstLine="600"/>
        <w:jc w:val="center"/>
      </w:pPr>
      <w:r>
        <w:rPr>
          <w:sz w:val="27"/>
        </w:rPr>
        <w:t>中华人民共和国科学技术部印制</w:t>
      </w:r>
    </w:p>
    <w:p>
      <w:pPr>
        <w:pStyle w:val="null3"/>
        <w:ind w:firstLine="600"/>
        <w:jc w:val="center"/>
      </w:pPr>
      <w:r>
        <w:rPr/>
        <w:t xml:space="preserve"> </w:t>
      </w:r>
    </w:p>
    <w:p>
      <w:pPr>
        <w:pStyle w:val="null3"/>
        <w:ind w:firstLine="600"/>
        <w:jc w:val="center"/>
      </w:pPr>
      <w:r>
        <w:rPr/>
        <w:t xml:space="preserve"> </w:t>
      </w:r>
    </w:p>
    <w:p>
      <w:pPr>
        <w:pStyle w:val="null3"/>
        <w:ind w:firstLine="600"/>
        <w:jc w:val="center"/>
      </w:pPr>
      <w:r>
        <w:rPr/>
        <w:t xml:space="preserve"> </w:t>
      </w:r>
    </w:p>
    <w:p>
      <w:pPr>
        <w:pStyle w:val="null3"/>
        <w:jc w:val="center"/>
      </w:pPr>
      <w:r>
        <w:rPr/>
        <w:t xml:space="preserve"> </w:t>
      </w:r>
    </w:p>
    <w:p>
      <w:pPr>
        <w:pStyle w:val="null3"/>
        <w:jc w:val="center"/>
      </w:pPr>
      <w:r>
        <w:rPr>
          <w:sz w:val="30"/>
          <w:b/>
        </w:rPr>
        <w:t>填 写 说 明</w:t>
      </w:r>
    </w:p>
    <w:p>
      <w:pPr>
        <w:pStyle w:val="null3"/>
        <w:ind w:firstLine="560"/>
        <w:jc w:val="both"/>
      </w:pPr>
      <w:r>
        <w:rPr>
          <w:sz w:val="24"/>
        </w:rPr>
        <w:t>一、本合同为中华人民共和国科学技术部印制的技术服务合同示范文本，各技术合同认定登记机构可推介技术合同当事人参照使用。</w:t>
      </w:r>
    </w:p>
    <w:p>
      <w:pPr>
        <w:pStyle w:val="null3"/>
        <w:ind w:firstLine="560"/>
        <w:jc w:val="both"/>
      </w:pPr>
      <w:r>
        <w:rPr>
          <w:sz w:val="24"/>
        </w:rPr>
        <w:t>二、本合同书适用于一方当事人（受托方）以技术知识为另一方（委托方）解决特定技术问题所订立的合同。</w:t>
      </w:r>
    </w:p>
    <w:p>
      <w:pPr>
        <w:pStyle w:val="null3"/>
        <w:ind w:firstLine="560"/>
        <w:jc w:val="both"/>
      </w:pPr>
      <w:r>
        <w:rPr>
          <w:sz w:val="24"/>
        </w:rPr>
        <w:t>三、签约一方为多个当事人的，可按各自在合同关系中的作用等，在“委托方”、“受托方”项下（增页）分别排列为共同委托人或共同受托人。</w:t>
      </w:r>
    </w:p>
    <w:p>
      <w:pPr>
        <w:pStyle w:val="null3"/>
        <w:ind w:firstLine="560"/>
        <w:jc w:val="both"/>
      </w:pPr>
      <w:r>
        <w:rPr>
          <w:sz w:val="24"/>
        </w:rPr>
        <w:t>四、本合同书未尽事项，可由当事人附页另行约定，并作为本合同的组成部分。</w:t>
      </w:r>
    </w:p>
    <w:p>
      <w:pPr>
        <w:pStyle w:val="null3"/>
        <w:ind w:firstLine="560"/>
        <w:jc w:val="both"/>
      </w:pPr>
      <w:r>
        <w:rPr>
          <w:sz w:val="24"/>
        </w:rPr>
        <w:t>五、当事人使用本合同书时约定无需填写的条款，应在该条款处注明“无”等字样。</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jc w:val="center"/>
      </w:pPr>
      <w:r>
        <w:rPr>
          <w:sz w:val="27"/>
          <w:b/>
        </w:rPr>
        <w:t>技术服务合同</w:t>
      </w:r>
    </w:p>
    <w:p>
      <w:pPr>
        <w:pStyle w:val="null3"/>
        <w:ind w:firstLine="480"/>
        <w:jc w:val="center"/>
      </w:pPr>
      <w:r>
        <w:rPr>
          <w:sz w:val="24"/>
        </w:rPr>
        <w:t>委托方（甲方）：</w:t>
      </w:r>
    </w:p>
    <w:p>
      <w:pPr>
        <w:pStyle w:val="null3"/>
        <w:ind w:firstLine="480"/>
        <w:jc w:val="left"/>
      </w:pPr>
      <w:r>
        <w:rPr>
          <w:sz w:val="24"/>
        </w:rPr>
        <w:t>住  所  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w:t>
      </w:r>
    </w:p>
    <w:p>
      <w:pPr>
        <w:pStyle w:val="null3"/>
        <w:ind w:firstLine="480"/>
        <w:jc w:val="both"/>
      </w:pPr>
      <w:r>
        <w:rPr>
          <w:sz w:val="24"/>
        </w:rPr>
        <w:t>通讯地址：</w:t>
      </w:r>
    </w:p>
    <w:p>
      <w:pPr>
        <w:pStyle w:val="null3"/>
        <w:ind w:firstLine="480"/>
        <w:jc w:val="both"/>
      </w:pPr>
      <w:r>
        <w:rPr>
          <w:sz w:val="24"/>
        </w:rPr>
        <w:t>电    话：</w:t>
      </w:r>
    </w:p>
    <w:p>
      <w:pPr>
        <w:pStyle w:val="null3"/>
        <w:ind w:firstLine="480"/>
        <w:jc w:val="both"/>
      </w:pPr>
      <w:r>
        <w:rPr>
          <w:sz w:val="24"/>
        </w:rPr>
        <w:t>传    真：</w:t>
      </w:r>
    </w:p>
    <w:p>
      <w:pPr>
        <w:pStyle w:val="null3"/>
        <w:ind w:firstLine="480"/>
        <w:jc w:val="both"/>
      </w:pPr>
      <w:r>
        <w:rPr>
          <w:sz w:val="24"/>
        </w:rPr>
        <w:t>委托方（乙方）：</w:t>
      </w:r>
    </w:p>
    <w:p>
      <w:pPr>
        <w:pStyle w:val="null3"/>
        <w:ind w:firstLine="480"/>
        <w:jc w:val="left"/>
      </w:pPr>
      <w:r>
        <w:rPr>
          <w:sz w:val="24"/>
        </w:rPr>
        <w:t>住  所  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w:t>
      </w:r>
    </w:p>
    <w:p>
      <w:pPr>
        <w:pStyle w:val="null3"/>
        <w:ind w:firstLine="480"/>
        <w:jc w:val="both"/>
      </w:pPr>
      <w:r>
        <w:rPr>
          <w:sz w:val="24"/>
        </w:rPr>
        <w:t>通讯地址：</w:t>
      </w:r>
    </w:p>
    <w:p>
      <w:pPr>
        <w:pStyle w:val="null3"/>
        <w:ind w:firstLine="480"/>
        <w:jc w:val="both"/>
      </w:pPr>
      <w:r>
        <w:rPr>
          <w:sz w:val="24"/>
        </w:rPr>
        <w:t>电    话：</w:t>
      </w:r>
    </w:p>
    <w:p>
      <w:pPr>
        <w:pStyle w:val="null3"/>
        <w:ind w:firstLine="480"/>
        <w:jc w:val="both"/>
      </w:pPr>
      <w:r>
        <w:rPr>
          <w:sz w:val="24"/>
        </w:rPr>
        <w:t>传    真：</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本合同甲方委托乙方就</w:t>
      </w:r>
      <w:r>
        <w:rPr>
          <w:sz w:val="24"/>
          <w:u w:val="single"/>
        </w:rPr>
        <w:t>2025年下半年至2026年上半年规划实施公示公布工作项目</w:t>
      </w:r>
      <w:r>
        <w:rPr>
          <w:sz w:val="24"/>
        </w:rPr>
        <w:t>进行的专项技术服务，并支付相应的技术服务报酬。双方经过平等协商，在真实、充分地表达各自意愿的基础上，根据《中华人民共和国民法典》的规定，达成如下协议，并由双方共同恪守。</w:t>
      </w:r>
    </w:p>
    <w:p>
      <w:pPr>
        <w:pStyle w:val="null3"/>
        <w:ind w:firstLine="482"/>
        <w:jc w:val="both"/>
      </w:pPr>
      <w:r>
        <w:rPr>
          <w:sz w:val="24"/>
          <w:b/>
        </w:rPr>
        <w:t>第一条：甲方委托乙方进行技术服务的内容如下：</w:t>
      </w:r>
    </w:p>
    <w:p>
      <w:pPr>
        <w:pStyle w:val="null3"/>
        <w:ind w:firstLine="480"/>
        <w:jc w:val="both"/>
      </w:pPr>
      <w:r>
        <w:rPr>
          <w:sz w:val="24"/>
        </w:rPr>
        <w:t>1．技术服务的目标：</w:t>
      </w:r>
      <w:r>
        <w:rPr>
          <w:sz w:val="24"/>
          <w:u w:val="single"/>
        </w:rPr>
        <w:t>完成2025年7月1日至2026年6月30日广州市规划和自然资源局白云区分局（广州市白云区林业局）规划实施公示公布工作。</w:t>
      </w:r>
    </w:p>
    <w:p>
      <w:pPr>
        <w:pStyle w:val="null3"/>
        <w:ind w:firstLine="480"/>
        <w:jc w:val="both"/>
      </w:pPr>
      <w:r>
        <w:rPr>
          <w:sz w:val="24"/>
        </w:rPr>
        <w:t>2．技术服务的内容：</w:t>
      </w:r>
    </w:p>
    <w:p>
      <w:pPr>
        <w:pStyle w:val="null3"/>
        <w:ind w:firstLine="480"/>
        <w:jc w:val="both"/>
      </w:pPr>
      <w:r>
        <w:rPr>
          <w:sz w:val="24"/>
          <w:u w:val="single"/>
        </w:rPr>
        <w:t>（一）规划批前公示、批后公布图设计及公示牌制作。</w:t>
      </w:r>
    </w:p>
    <w:p>
      <w:pPr>
        <w:pStyle w:val="null3"/>
        <w:ind w:firstLine="480"/>
        <w:jc w:val="both"/>
      </w:pPr>
      <w:r>
        <w:rPr>
          <w:sz w:val="24"/>
          <w:u w:val="single"/>
        </w:rPr>
        <w:t>开展规划实施批前公示、批后公布图设计、公示公布牌制作。利用报建通、方案通、市政通等规划报批专业设计软件中的电子图件和建设单位补充提供的设计方案电子文件，开展规划实施公示公布图的设计制作，通过甲方的审查后制作成规划实施公示公布牌，协助甲方进行规划公示公布牌发放工作，并在甲方办公自动化系统上传规划实施批前公示、批后公布图电子文件，通过规划公示公布系统平台将规划公示公布图上传到甲方门户网站(http://ghzyj.gz.gov.cn/)进行网上公示公布。规划实施批前公示、批后公布图设计、公示公布牌制作具体要求如下：</w:t>
      </w:r>
    </w:p>
    <w:p>
      <w:pPr>
        <w:pStyle w:val="null3"/>
        <w:ind w:firstLine="480"/>
        <w:jc w:val="both"/>
      </w:pPr>
      <w:r>
        <w:rPr>
          <w:sz w:val="24"/>
          <w:u w:val="single"/>
        </w:rPr>
        <w:t>1．乙方提供专业的技术保障，所有操作须遵循城市规划及规划公示公布的技术规范和有关规定。</w:t>
      </w:r>
    </w:p>
    <w:p>
      <w:pPr>
        <w:pStyle w:val="null3"/>
        <w:ind w:firstLine="480"/>
        <w:jc w:val="both"/>
      </w:pPr>
      <w:r>
        <w:rPr>
          <w:sz w:val="24"/>
          <w:u w:val="single"/>
        </w:rPr>
        <w:t>2．乙方设计公示公布图并制牌，需符合《中华人民共和国城乡规划法》《广州市城乡规划程序规定》《广州市规划和自然资源局规划实施公示公布工作指引》《广州市规划和自然资源局规划实施公示公布图技术规范》等政策法规的要求。</w:t>
      </w:r>
    </w:p>
    <w:p>
      <w:pPr>
        <w:pStyle w:val="null3"/>
        <w:ind w:firstLine="480"/>
        <w:jc w:val="both"/>
      </w:pPr>
      <w:r>
        <w:rPr>
          <w:sz w:val="24"/>
          <w:u w:val="single"/>
        </w:rPr>
        <w:t>3．公示公布电子图要求不小于11905像素×8419像素，分辨率不小于72DPI。</w:t>
      </w:r>
    </w:p>
    <w:p>
      <w:pPr>
        <w:pStyle w:val="null3"/>
        <w:ind w:firstLine="480"/>
        <w:jc w:val="both"/>
      </w:pPr>
      <w:r>
        <w:rPr>
          <w:sz w:val="24"/>
          <w:u w:val="single"/>
        </w:rPr>
        <w:t>4</w:t>
      </w:r>
      <w:r>
        <w:rPr>
          <w:sz w:val="24"/>
          <w:u w:val="single"/>
        </w:rPr>
        <w:t>．</w:t>
      </w:r>
      <w:r>
        <w:rPr>
          <w:sz w:val="24"/>
          <w:u w:val="single"/>
        </w:rPr>
        <w:t>批前公示牌尺寸为160cm×120cm；建筑工程设计方案审查及调整的批后公布牌尺寸为160cm×120cm；建设工程规划许可证的批后公布牌尺寸为90cm×65cm；公示公布牌材质要求：20mm×20mm规格，2mm厚度，铝合金框架，5mm厚度加厚户外AD板，光面防水防晒户外背胶，防水光膜。</w:t>
      </w:r>
    </w:p>
    <w:p>
      <w:pPr>
        <w:pStyle w:val="null3"/>
        <w:ind w:firstLine="480"/>
        <w:jc w:val="both"/>
      </w:pPr>
      <w:r>
        <w:rPr>
          <w:sz w:val="24"/>
          <w:u w:val="single"/>
        </w:rPr>
        <w:t>5．服务时限和流程应当符合以下要求：</w:t>
      </w:r>
    </w:p>
    <w:p>
      <w:pPr>
        <w:pStyle w:val="null3"/>
        <w:ind w:firstLine="480"/>
        <w:jc w:val="both"/>
      </w:pPr>
      <w:r>
        <w:rPr>
          <w:sz w:val="24"/>
          <w:u w:val="single"/>
        </w:rPr>
        <w:t>（1）乙方在接到规划批前公示、批后公布工作任务起5个工作日内，完成批前公示、批后公布图初稿的设计，并提交给甲方业务部门审核。甲方业务部门审核后，要求作一般修改的（包括但不限于文字表述调整、增加公示起止日期等），需在收到修改意见后1个工作日内按照要求完成修改；要求作复杂修改的（包括但不限于指标修改、建筑布局调整等），需在收到修改意见后3个工作日内按照要求完成修改；并再次提交甲方业务部门审核。</w:t>
      </w:r>
    </w:p>
    <w:p>
      <w:pPr>
        <w:pStyle w:val="null3"/>
        <w:ind w:firstLine="480"/>
        <w:jc w:val="both"/>
      </w:pPr>
      <w:r>
        <w:rPr>
          <w:sz w:val="24"/>
          <w:u w:val="single"/>
        </w:rPr>
        <w:t>（2）在规划批前公示、批后公布图样稿经甲方业务部门审核通过后，1个工作日内完成批前公示、批后公布图定稿电子图的制作，打印1套批前公示、批后公布彩色定稿样图（特殊案件可根据具体需要对图纸的套数进行调整）提交给甲方业务部门复核。</w:t>
      </w:r>
    </w:p>
    <w:p>
      <w:pPr>
        <w:pStyle w:val="null3"/>
        <w:ind w:firstLine="480"/>
        <w:jc w:val="both"/>
      </w:pPr>
      <w:r>
        <w:rPr>
          <w:sz w:val="24"/>
          <w:u w:val="single"/>
        </w:rPr>
        <w:t>（3）彩色定稿样图通过甲方复核，并在相应电子图加盖电子印章后1个工作日内，完成公示、公布牌的喷绘、金属支架、AD底板及图面防水覆膜组装等全部制作和包装工作，并向甲方业务部门反馈制牌完成情况。</w:t>
      </w:r>
    </w:p>
    <w:p>
      <w:pPr>
        <w:pStyle w:val="null3"/>
        <w:ind w:firstLine="480"/>
        <w:jc w:val="both"/>
      </w:pPr>
      <w:r>
        <w:rPr>
          <w:sz w:val="24"/>
          <w:u w:val="single"/>
        </w:rPr>
        <w:t>（4）网上发布时间。通过规划公示公布系统平台将公示公布图电子版上传到广州市规划和自然资源局门户网站特定版面进行网上公布。其中批前公示应按照经办业务部门确定的公示起止日期、在政府部门作出决定前在广州市规划和自然资源局门户网站公示。批后公布应当送达之日起的15个工作日内在广州市规划和自然资源局门户网站上长期公布。</w:t>
      </w:r>
    </w:p>
    <w:p>
      <w:pPr>
        <w:pStyle w:val="null3"/>
        <w:ind w:firstLine="480"/>
        <w:jc w:val="both"/>
      </w:pPr>
      <w:r>
        <w:rPr>
          <w:sz w:val="24"/>
          <w:u w:val="single"/>
        </w:rPr>
        <w:t>6．规划批前公示、批后公布图面基本要素要求（包括但不限于以下要素，具体参照甲方提供的公示公布示例图）：</w:t>
      </w:r>
    </w:p>
    <w:p>
      <w:pPr>
        <w:pStyle w:val="null3"/>
        <w:ind w:firstLine="480"/>
        <w:jc w:val="both"/>
      </w:pPr>
      <w:r>
        <w:rPr>
          <w:sz w:val="24"/>
          <w:u w:val="single"/>
        </w:rPr>
        <w:t>（1）建设工程规划类许可证核发（建筑类）及调整批前公示：批前公示图上方的公示标题；左侧公示说明栏应包含项目立案号、公示时间、审批单位、建设单位名称、建设位置、公示内容简述、附注栏的信函反馈意见地址和批前公示查询网址等内容；项目方案应包含调整前后的总平面示意图、立面图、图例、指北针和比例尺等。其中既有住宅增设电梯批前公示还应包含电梯方案的平面图及根据《中华人民共和国民法典》第二百七十八条规定业主数量的同意增设电梯签名表等资料，危房原址重建批前公示应包含重建方案的平面图及剖面图。</w:t>
      </w:r>
    </w:p>
    <w:p>
      <w:pPr>
        <w:pStyle w:val="null3"/>
        <w:ind w:firstLine="480"/>
        <w:jc w:val="both"/>
      </w:pPr>
      <w:r>
        <w:rPr>
          <w:sz w:val="24"/>
          <w:u w:val="single"/>
        </w:rPr>
        <w:t>（2）建筑工程设计方案审查及调整批前公示：批前公示图上方的公示标题；左侧公示说明栏应包含项目立案号、公示时间、审批单位、建设单位名称、建设位置、公示内容简述、附注栏的信函反馈意见地址和批前公示查询网址等内容；项目方案应包含调整前后的总平面示意图、图例、指北针和比例尺等内容。</w:t>
      </w:r>
    </w:p>
    <w:p>
      <w:pPr>
        <w:pStyle w:val="null3"/>
        <w:ind w:firstLine="480"/>
        <w:jc w:val="both"/>
      </w:pPr>
      <w:r>
        <w:rPr>
          <w:sz w:val="24"/>
          <w:u w:val="single"/>
        </w:rPr>
        <w:t>（3）其他类型业务批前公示图基本要素由甲方业务部门参照（1）（2）项要求结合审批案件公示需要进行明确。</w:t>
      </w:r>
    </w:p>
    <w:p>
      <w:pPr>
        <w:pStyle w:val="null3"/>
        <w:ind w:firstLine="480"/>
        <w:jc w:val="both"/>
      </w:pPr>
      <w:r>
        <w:rPr>
          <w:sz w:val="24"/>
          <w:u w:val="single"/>
        </w:rPr>
        <w:t>（4）建设工程规划许可证及调整批后公布：公布图上方的公布标题；左侧公布说明栏的建设工程规划许可证号、审批单位、批准日期、建设单位名称、建设项目名称、建设位置、建设规模、计算容积率建筑面积、公建配套项目、附注栏的建设单位联系电话和查询网址；总平面示意图、图例、指北针和比例尺等。</w:t>
      </w:r>
    </w:p>
    <w:p>
      <w:pPr>
        <w:pStyle w:val="null3"/>
        <w:ind w:firstLine="480"/>
        <w:jc w:val="both"/>
      </w:pPr>
      <w:r>
        <w:rPr>
          <w:sz w:val="24"/>
          <w:u w:val="single"/>
        </w:rPr>
        <w:t>（5）建筑工程设计方案审查及调整批后公布：公布图上方的公布标题；左侧公布说明栏的审批单位、文件批准号、批准时间、建设单位名称、建设项目名称、建设位置、规划主要指标、公建配套项目、附注栏的绿地说明和查询网址；总平面示意图、图例、指北针和比例尺等。</w:t>
      </w:r>
    </w:p>
    <w:p>
      <w:pPr>
        <w:pStyle w:val="null3"/>
        <w:ind w:firstLine="480"/>
        <w:jc w:val="both"/>
      </w:pPr>
      <w:r>
        <w:rPr>
          <w:sz w:val="24"/>
          <w:u w:val="single"/>
        </w:rPr>
        <w:t>（6）其他类型业务批后公布图基本要素由甲方业务部门参考（4）（5）项要求结合审批案件公布需要进行明确。</w:t>
      </w:r>
    </w:p>
    <w:p>
      <w:pPr>
        <w:pStyle w:val="null3"/>
        <w:ind w:firstLine="480"/>
        <w:jc w:val="both"/>
      </w:pPr>
      <w:r>
        <w:rPr>
          <w:sz w:val="24"/>
          <w:u w:val="single"/>
        </w:rPr>
        <w:t>（二）同步开展线上线下公示公布工作。</w:t>
      </w:r>
    </w:p>
    <w:p>
      <w:pPr>
        <w:pStyle w:val="null3"/>
        <w:ind w:firstLine="480"/>
        <w:jc w:val="both"/>
      </w:pPr>
      <w:r>
        <w:rPr>
          <w:sz w:val="24"/>
          <w:u w:val="single"/>
        </w:rPr>
        <w:t>1．线下公示公布。按照甲方业务部门要求，在公示公布开始的日期之前，以短信或电话等方式通知建设单位领取现场公示牌，安排专人将公示公布牌运送到案件相应建设项目现场，告知建设单位规划公示公布牌现场挂放的要求和相关责任（现场公示牌应挂在现场显著位置并张贴封条，封条尺寸为60cm*20cm，封条上应加盖“广州市规划和自然资源局业务专用章”，公示公布牌上边沿距离地面的高度不得超过2.5米），与建设单位协同做好现场挂牌工作，并拍照记录现场挂牌情况。其中批前公示牌的公示期限为经办业务部门确定的公示起止日期。批后公布牌应自公布案件批准后及时在现场展示，公布期限应自建设项目首期工程开工之日起至工程全部建成后通过规划条件核实之日止，如建设单位收到通知后3个月内仍不领取公布牌，乙方应在批后公布案件批准后的3个月期限内的倒数3天前（按自然日计算）告知甲方和甲方业务经办部门。</w:t>
      </w:r>
    </w:p>
    <w:p>
      <w:pPr>
        <w:pStyle w:val="null3"/>
        <w:ind w:firstLine="480"/>
        <w:jc w:val="both"/>
      </w:pPr>
      <w:r>
        <w:rPr>
          <w:sz w:val="24"/>
          <w:u w:val="single"/>
        </w:rPr>
        <w:t>2．线上公示公布。通过规划公示公布系统平台及时将公示公布图电子版上传到广州市规划和自然资源局门户网站特定版面进行网上公布。其中批前公示应按照经办业务部门确定的公示起止日期、在政府部门作出决定前在广州市规划和自然资源局门户网站公示。批后公布应该送达之日起的15个工作日内在广州市规划和自然资源局门户网站上长期公布。</w:t>
      </w:r>
    </w:p>
    <w:p>
      <w:pPr>
        <w:pStyle w:val="null3"/>
        <w:ind w:firstLine="480"/>
        <w:jc w:val="both"/>
      </w:pPr>
      <w:r>
        <w:rPr>
          <w:sz w:val="24"/>
          <w:u w:val="single"/>
        </w:rPr>
        <w:t>（三）提供完整的规划实施批前公示、批后公布图电子数据。于完成制作公示、公布牌当日，将完整的规划实施批前公示图、批后公布图电子数据提供给甲方对应业务经办部门。</w:t>
      </w:r>
    </w:p>
    <w:p>
      <w:pPr>
        <w:pStyle w:val="null3"/>
        <w:ind w:firstLine="480"/>
        <w:jc w:val="both"/>
      </w:pPr>
      <w:r>
        <w:rPr>
          <w:sz w:val="24"/>
          <w:u w:val="single"/>
        </w:rPr>
        <w:t>（四）进行网上巡查。</w:t>
      </w:r>
    </w:p>
    <w:p>
      <w:pPr>
        <w:pStyle w:val="null3"/>
        <w:ind w:firstLine="480"/>
        <w:jc w:val="both"/>
      </w:pPr>
      <w:r>
        <w:rPr>
          <w:sz w:val="24"/>
          <w:u w:val="single"/>
        </w:rPr>
        <w:t>对已上网的公示公布信息进行日常巡查，巡查内容包括：公示公布信息是否及时发布、公示公布图是否正常显示、公示公布信息有无被篡改等，发现问题立即反馈，并与网站技术部门对接落实整改。</w:t>
      </w:r>
    </w:p>
    <w:p>
      <w:pPr>
        <w:pStyle w:val="null3"/>
        <w:ind w:firstLine="480"/>
        <w:jc w:val="both"/>
      </w:pPr>
      <w:r>
        <w:rPr>
          <w:sz w:val="24"/>
          <w:u w:val="single"/>
        </w:rPr>
        <w:t>（五）开展批前公示现场公示牌巡查工作。</w:t>
      </w:r>
    </w:p>
    <w:p>
      <w:pPr>
        <w:pStyle w:val="null3"/>
        <w:ind w:firstLine="480"/>
        <w:jc w:val="both"/>
      </w:pPr>
      <w:r>
        <w:rPr>
          <w:sz w:val="24"/>
          <w:u w:val="single"/>
        </w:rPr>
        <w:t>根据《广州市规划和自然资源局规划实施公示公布工作指引》和甲方业务经办部门要求进行现场巡查，每份批前公示案件公示期内开展不少于1次的现场巡查，对特殊案件需要多次现场巡查的，巡查人员应按甲方业务部门要求的时间和次数进行现场巡查。巡查人员需认真检查现场挂牌情况，填写现场巡查记录表，并拍摄现场公示牌巡查照片（照片要求清晰显示现场公示牌实时状况，如发现公示牌或封条曾被移动、涂改、缺失及损坏等情况时应拍摄局部特写）。每月第一周将上个月完成案件现场巡查记录表、相应现场巡查照片按案件汇总，报送给甲方相应业务部门存档。</w:t>
      </w:r>
    </w:p>
    <w:p>
      <w:pPr>
        <w:pStyle w:val="null3"/>
        <w:ind w:firstLine="480"/>
        <w:jc w:val="both"/>
      </w:pPr>
      <w:r>
        <w:rPr>
          <w:sz w:val="24"/>
          <w:u w:val="single"/>
        </w:rPr>
        <w:t>（六）将每宗公示公布案件的工作完成进度情况、现场挂牌情况更新记录到工作台账，每月第一周将上个月已完成案件的工作台账报送给甲方相应业务科室核对并签名确认。</w:t>
      </w:r>
    </w:p>
    <w:p>
      <w:pPr>
        <w:pStyle w:val="null3"/>
        <w:ind w:firstLine="480"/>
        <w:jc w:val="both"/>
      </w:pPr>
      <w:r>
        <w:rPr>
          <w:sz w:val="24"/>
          <w:u w:val="single"/>
        </w:rPr>
        <w:t>（七）如果由于审批制度改革等要求，规划实施公示公布的方式需要调整的，以调整后的要求为准。</w:t>
      </w:r>
    </w:p>
    <w:p>
      <w:pPr>
        <w:pStyle w:val="null3"/>
        <w:ind w:firstLine="480"/>
        <w:jc w:val="both"/>
      </w:pPr>
      <w:r>
        <w:rPr>
          <w:sz w:val="24"/>
          <w:u w:val="single"/>
        </w:rPr>
        <w:t>（八）除以上规定外，其他建设项目用地预审与选址意见书、建设用地规划许可、乡村建设规划许可等行政许可、行政审批事项按照有关规定需进行批前公示、批后公布的，由甲方业务部门根据案件公示公布需要向乙方明确公示公布图具体版面要素，乙方按甲方业务部门要求完成批前公示、批后公布图设计及制牌、协助现场挂牌、开展网上及现场巡查、提供完整公示公布图电子成果数据等相关工作。</w:t>
      </w:r>
    </w:p>
    <w:p>
      <w:pPr>
        <w:pStyle w:val="null3"/>
        <w:ind w:firstLine="480"/>
        <w:jc w:val="both"/>
      </w:pPr>
      <w:r>
        <w:rPr>
          <w:sz w:val="24"/>
          <w:u w:val="single"/>
        </w:rPr>
        <w:t>（九）特殊（紧急）任务要求：</w:t>
      </w:r>
    </w:p>
    <w:p>
      <w:pPr>
        <w:pStyle w:val="null3"/>
        <w:ind w:firstLine="480"/>
        <w:jc w:val="both"/>
      </w:pPr>
      <w:r>
        <w:rPr>
          <w:sz w:val="24"/>
        </w:rPr>
        <w:t>1．</w:t>
      </w:r>
      <w:r>
        <w:rPr>
          <w:sz w:val="24"/>
          <w:u w:val="single"/>
        </w:rPr>
        <w:t>随时响应采购方的特殊要求，包括且不限于以下内容：协助修改规划实施批前公示和批后公布图及更改网上批前公示和批后公布相关信息；协助处理特殊业务案件规划批前公示。</w:t>
      </w:r>
    </w:p>
    <w:p>
      <w:pPr>
        <w:pStyle w:val="null3"/>
        <w:ind w:firstLine="480"/>
        <w:jc w:val="both"/>
      </w:pPr>
      <w:r>
        <w:rPr>
          <w:sz w:val="24"/>
          <w:u w:val="single"/>
        </w:rPr>
        <w:t>2．特殊（紧急）任务服务时间响应要求：（1）甲方向乙方提出公示公布信息错误或者相关文证号变动等情况时，乙方必须在1个工作日内完成相关修改。若无法在1个工作日内完成相关修改工作的，需要立即与相关部门反映情况并落实其他修改办法。（2）若乙方无法解决甲方的相关修改要求，需及时向相关部门进行反馈，以免造成相关信息错误延续。</w:t>
      </w:r>
    </w:p>
    <w:p>
      <w:pPr>
        <w:pStyle w:val="null3"/>
        <w:ind w:firstLine="482"/>
        <w:jc w:val="both"/>
      </w:pPr>
      <w:r>
        <w:rPr>
          <w:sz w:val="24"/>
          <w:b/>
        </w:rPr>
        <w:t>第二条：</w:t>
      </w:r>
      <w:r>
        <w:rPr>
          <w:sz w:val="24"/>
        </w:rPr>
        <w:t>乙方应按下列要求完成技术服务工作：</w:t>
      </w:r>
    </w:p>
    <w:p>
      <w:pPr>
        <w:pStyle w:val="null3"/>
        <w:ind w:firstLine="480"/>
        <w:jc w:val="both"/>
      </w:pPr>
      <w:r>
        <w:rPr>
          <w:sz w:val="24"/>
        </w:rPr>
        <w:t>1．技术服务地点：</w:t>
      </w:r>
      <w:r>
        <w:rPr>
          <w:sz w:val="24"/>
          <w:u w:val="single"/>
        </w:rPr>
        <w:t>广州市</w:t>
      </w:r>
    </w:p>
    <w:p>
      <w:pPr>
        <w:pStyle w:val="null3"/>
        <w:ind w:firstLine="480"/>
        <w:jc w:val="both"/>
      </w:pPr>
      <w:r>
        <w:rPr>
          <w:sz w:val="24"/>
        </w:rPr>
        <w:t>2．技术服务期限：</w:t>
      </w:r>
      <w:r>
        <w:rPr>
          <w:sz w:val="24"/>
          <w:u w:val="single"/>
        </w:rPr>
        <w:t>2025年7月1日至2026年6月30日。在乙方完成项目服务工作，通过市规划和自然资源局白云区分局组织的项目评审，并按市规划和自然资源局白云区分局要求完成项目档案归档工作后，方可视为完成项目。</w:t>
      </w:r>
    </w:p>
    <w:p>
      <w:pPr>
        <w:pStyle w:val="null3"/>
        <w:ind w:firstLine="480"/>
        <w:jc w:val="both"/>
      </w:pPr>
      <w:r>
        <w:rPr>
          <w:sz w:val="24"/>
        </w:rPr>
        <w:t>3．技术服务进度：</w:t>
      </w:r>
      <w:r>
        <w:rPr>
          <w:sz w:val="24"/>
          <w:u w:val="single"/>
        </w:rPr>
        <w:t xml:space="preserve"> 依据甲方要求</w:t>
      </w:r>
    </w:p>
    <w:p>
      <w:pPr>
        <w:pStyle w:val="null3"/>
        <w:ind w:firstLine="480"/>
        <w:jc w:val="both"/>
      </w:pPr>
      <w:r>
        <w:rPr>
          <w:sz w:val="24"/>
        </w:rPr>
        <w:t>4．技术服务质量要求：</w:t>
      </w:r>
      <w:r>
        <w:rPr>
          <w:sz w:val="24"/>
          <w:u w:val="single"/>
        </w:rPr>
        <w:t>依据甲方要求</w:t>
      </w:r>
    </w:p>
    <w:p>
      <w:pPr>
        <w:pStyle w:val="null3"/>
        <w:ind w:firstLine="482"/>
        <w:jc w:val="both"/>
      </w:pPr>
      <w:r>
        <w:rPr>
          <w:sz w:val="24"/>
          <w:b/>
        </w:rPr>
        <w:t>第三条：</w:t>
      </w:r>
      <w:r>
        <w:rPr>
          <w:sz w:val="24"/>
        </w:rPr>
        <w:t>为保证乙方有效进行技术服务工作，甲方应当向乙方提供下列工作条件和协作事项：</w:t>
      </w:r>
    </w:p>
    <w:p>
      <w:pPr>
        <w:pStyle w:val="null3"/>
        <w:ind w:firstLine="480"/>
        <w:jc w:val="both"/>
      </w:pPr>
      <w:r>
        <w:rPr>
          <w:sz w:val="24"/>
        </w:rPr>
        <w:t>1．提供技术资料：</w:t>
      </w:r>
      <w:r>
        <w:rPr>
          <w:sz w:val="24"/>
          <w:u w:val="single"/>
        </w:rPr>
        <w:t xml:space="preserve"> 用于本项目目的的数据、文件和信息。</w:t>
      </w:r>
    </w:p>
    <w:p>
      <w:pPr>
        <w:pStyle w:val="null3"/>
        <w:ind w:firstLine="480"/>
        <w:jc w:val="both"/>
      </w:pPr>
      <w:r>
        <w:rPr>
          <w:sz w:val="24"/>
        </w:rPr>
        <w:t>2．提供工作条件：</w:t>
      </w:r>
      <w:r>
        <w:rPr>
          <w:sz w:val="24"/>
          <w:u w:val="single"/>
        </w:rPr>
        <w:t>甲方配合为乙方现场服务提供条件、组织项目审查及验收、按合同支付乙方款项等。</w:t>
      </w:r>
    </w:p>
    <w:p>
      <w:pPr>
        <w:pStyle w:val="null3"/>
        <w:ind w:firstLine="480"/>
        <w:jc w:val="both"/>
      </w:pPr>
      <w:r>
        <w:rPr>
          <w:sz w:val="24"/>
        </w:rPr>
        <w:t>3．其他：</w:t>
      </w:r>
    </w:p>
    <w:p>
      <w:pPr>
        <w:pStyle w:val="null3"/>
        <w:ind w:firstLine="480"/>
        <w:jc w:val="both"/>
      </w:pPr>
      <w:r>
        <w:rPr>
          <w:sz w:val="24"/>
        </w:rPr>
        <w:t>4．甲方提供上述工作条件和协作事项的时间及方式：</w:t>
      </w:r>
      <w:r>
        <w:rPr>
          <w:sz w:val="24"/>
          <w:u w:val="single"/>
        </w:rPr>
        <w:t xml:space="preserve">双方签订合同后，具体方式由双方协商。 </w:t>
      </w:r>
    </w:p>
    <w:p>
      <w:pPr>
        <w:pStyle w:val="null3"/>
        <w:ind w:firstLine="482"/>
        <w:jc w:val="both"/>
      </w:pPr>
      <w:r>
        <w:rPr>
          <w:sz w:val="24"/>
          <w:b/>
        </w:rPr>
        <w:t>第四条：</w:t>
      </w:r>
      <w:r>
        <w:rPr>
          <w:sz w:val="24"/>
        </w:rPr>
        <w:t>甲方向乙方支付技术服务报酬及支付方式为：</w:t>
      </w:r>
    </w:p>
    <w:p>
      <w:pPr>
        <w:pStyle w:val="null3"/>
        <w:ind w:firstLine="480"/>
        <w:jc w:val="both"/>
      </w:pPr>
      <w:r>
        <w:rPr>
          <w:sz w:val="24"/>
        </w:rPr>
        <w:t>1．技术服务费总额（含税）为：</w:t>
      </w:r>
      <w:r>
        <w:rPr>
          <w:sz w:val="24"/>
          <w:u w:val="single"/>
        </w:rPr>
        <w:t>人民币     元整（</w:t>
      </w:r>
      <w:r>
        <w:rPr>
          <w:sz w:val="24"/>
          <w:u w:val="single"/>
        </w:rPr>
        <w:t>¥        .00</w:t>
      </w:r>
      <w:r>
        <w:rPr>
          <w:sz w:val="24"/>
          <w:u w:val="single"/>
        </w:rPr>
        <w:t>）</w:t>
      </w:r>
      <w:r>
        <w:rPr>
          <w:sz w:val="24"/>
        </w:rPr>
        <w:t>，折扣率为：</w:t>
      </w:r>
      <w:r>
        <w:rPr>
          <w:sz w:val="24"/>
          <w:u w:val="single"/>
        </w:rPr>
        <w:t xml:space="preserve">       </w:t>
      </w:r>
      <w:r>
        <w:rPr>
          <w:sz w:val="24"/>
        </w:rPr>
        <w:t>%（合同执行期内，折扣率不作调整）。</w:t>
      </w:r>
    </w:p>
    <w:p>
      <w:pPr>
        <w:pStyle w:val="null3"/>
        <w:ind w:firstLine="480"/>
        <w:jc w:val="both"/>
      </w:pPr>
      <w:r>
        <w:rPr>
          <w:sz w:val="24"/>
        </w:rPr>
        <w:t>2．技术服务费由甲方：</w:t>
      </w:r>
      <w:r>
        <w:rPr>
          <w:sz w:val="24"/>
          <w:u w:val="single"/>
        </w:rPr>
        <w:t>分二期</w:t>
      </w:r>
      <w:r>
        <w:rPr>
          <w:sz w:val="24"/>
        </w:rPr>
        <w:t>支付给乙方。</w:t>
      </w:r>
    </w:p>
    <w:p>
      <w:pPr>
        <w:pStyle w:val="null3"/>
        <w:ind w:firstLine="480"/>
        <w:jc w:val="both"/>
      </w:pPr>
      <w:r>
        <w:rPr>
          <w:sz w:val="24"/>
        </w:rPr>
        <w:t>具体支付方式和时间如下：</w:t>
      </w:r>
    </w:p>
    <w:p>
      <w:pPr>
        <w:pStyle w:val="null3"/>
        <w:ind w:firstLine="480"/>
      </w:pPr>
      <w:r>
        <w:rPr>
          <w:sz w:val="24"/>
        </w:rPr>
        <w:t>1．首期款。合同签订后，甲方向乙方支付合同总金额的45%。</w:t>
      </w:r>
    </w:p>
    <w:p>
      <w:pPr>
        <w:pStyle w:val="null3"/>
        <w:ind w:firstLine="480"/>
      </w:pPr>
      <w:r>
        <w:rPr>
          <w:sz w:val="24"/>
        </w:rPr>
        <w:t>2．尾款。服务期满且项目通过验收后，项目实施据实结算，乙方向甲方提交已完成工作量数据和尾款费用支付申请，甲方对已完成工作量数据和费用进行审核，甲方审核完毕后按规定申请款项支付手续，待支付手续批复后，甲方向乙方支付尾款。</w:t>
      </w:r>
    </w:p>
    <w:p>
      <w:pPr>
        <w:pStyle w:val="null3"/>
        <w:ind w:firstLine="480"/>
      </w:pPr>
      <w:r>
        <w:rPr>
          <w:sz w:val="24"/>
        </w:rPr>
        <w:t>3．尾款据实结算计算方法如下：</w:t>
      </w:r>
    </w:p>
    <w:p>
      <w:pPr>
        <w:pStyle w:val="null3"/>
        <w:ind w:firstLine="480"/>
      </w:pPr>
      <w:r>
        <w:rPr>
          <w:sz w:val="24"/>
        </w:rPr>
        <w:t>（1）单宗规划实施批前公示结算价最高不超过1960元/宗，单宗规划实施批后公布结算价最高不超过1540元/宗，根据乙方的报价折扣率最终确定单宗结算价。</w:t>
      </w:r>
    </w:p>
    <w:p>
      <w:pPr>
        <w:pStyle w:val="null3"/>
        <w:ind w:firstLine="480"/>
      </w:pPr>
      <w:r>
        <w:rPr>
          <w:sz w:val="24"/>
        </w:rPr>
        <w:t>（2）结算金额=单宗规划实施批前公示中标结算价*实际完成批前公示宗数+单宗规划实施批后公布中标结算价*实际完成批后公布宗数。</w:t>
      </w:r>
    </w:p>
    <w:p>
      <w:pPr>
        <w:pStyle w:val="null3"/>
        <w:ind w:firstLine="480"/>
      </w:pPr>
      <w:r>
        <w:rPr>
          <w:sz w:val="24"/>
        </w:rPr>
        <w:t>（3）结算总价=首期款+尾款。因本项目财政预算资金有限，结算总价不得超过预算金额（即壹佰柒拾万元（¥1,700,000.00元）。（注：甲方不保证乙方可承接的具体业务量，以实际发生量为准，乙方应自行承担相关风险。同时因本项目财政预算资金有限，乙方须承诺服务期限内当结算金额超过项目预算金额时，乙方须继续提供服务，不再追加其他费用。）</w:t>
      </w:r>
    </w:p>
    <w:p>
      <w:pPr>
        <w:pStyle w:val="null3"/>
        <w:ind w:firstLine="480"/>
        <w:jc w:val="both"/>
      </w:pPr>
      <w:r>
        <w:rPr>
          <w:sz w:val="24"/>
        </w:rPr>
        <w:t>因使用的是财政资金，广州市规划和自然资源局白云区分局（广州市白云区林业局）在规定的付款时间内向相关财政部门申请支付手续即视为甲方已经按期支付，最终的款项支付时间以财政部门审核支付资金的时间为准，由此原因造成的延期付款免责。资金支付具体比例和金额以财政实际下达资金为准，如当期财政资金下达未达到本合同约定金额，甲方有权调整并告知乙方。乙方延迟提交请款资料的，甲方有权延迟支付。</w:t>
      </w:r>
    </w:p>
    <w:p>
      <w:pPr>
        <w:pStyle w:val="null3"/>
        <w:ind w:firstLine="480"/>
        <w:jc w:val="both"/>
      </w:pPr>
      <w:r>
        <w:rPr>
          <w:sz w:val="24"/>
        </w:rPr>
        <w:t>乙方开户银行名称、地址和帐号为：</w:t>
      </w:r>
    </w:p>
    <w:p>
      <w:pPr>
        <w:pStyle w:val="null3"/>
        <w:ind w:firstLine="480"/>
        <w:jc w:val="both"/>
      </w:pPr>
      <w:r>
        <w:rPr>
          <w:sz w:val="24"/>
        </w:rPr>
        <w:t>开户银行：</w:t>
      </w:r>
    </w:p>
    <w:p>
      <w:pPr>
        <w:pStyle w:val="null3"/>
        <w:ind w:firstLine="480"/>
        <w:jc w:val="both"/>
      </w:pPr>
      <w:r>
        <w:rPr>
          <w:sz w:val="24"/>
        </w:rPr>
        <w:t>地址：</w:t>
      </w:r>
    </w:p>
    <w:p>
      <w:pPr>
        <w:pStyle w:val="null3"/>
        <w:ind w:firstLine="480"/>
        <w:jc w:val="both"/>
      </w:pPr>
      <w:r>
        <w:rPr>
          <w:sz w:val="24"/>
        </w:rPr>
        <w:t>账号：</w:t>
      </w:r>
    </w:p>
    <w:p>
      <w:pPr>
        <w:pStyle w:val="null3"/>
        <w:ind w:firstLine="480"/>
        <w:jc w:val="both"/>
      </w:pPr>
      <w:r>
        <w:rPr>
          <w:sz w:val="24"/>
          <w:u w:val="single"/>
        </w:rPr>
        <w:t>因乙方提供账号无效、有误或变更未及时通知，所产生后果由其自行承担。</w:t>
      </w:r>
    </w:p>
    <w:p>
      <w:pPr>
        <w:pStyle w:val="null3"/>
        <w:ind w:firstLine="482"/>
        <w:jc w:val="both"/>
      </w:pPr>
      <w:r>
        <w:rPr>
          <w:sz w:val="24"/>
          <w:b/>
        </w:rPr>
        <w:t>第五条：</w:t>
      </w:r>
      <w:r>
        <w:rPr>
          <w:sz w:val="24"/>
        </w:rPr>
        <w:t>双方确定因履行本合同应遵守的保密义务如下：</w:t>
      </w:r>
    </w:p>
    <w:p>
      <w:pPr>
        <w:pStyle w:val="null3"/>
        <w:ind w:firstLine="480"/>
        <w:jc w:val="both"/>
      </w:pPr>
      <w:r>
        <w:rPr>
          <w:sz w:val="24"/>
        </w:rPr>
        <w:t>甲方：</w:t>
      </w:r>
    </w:p>
    <w:p>
      <w:pPr>
        <w:pStyle w:val="null3"/>
        <w:ind w:firstLine="480"/>
        <w:jc w:val="both"/>
      </w:pPr>
      <w:r>
        <w:rPr>
          <w:sz w:val="24"/>
        </w:rPr>
        <w:t xml:space="preserve">1.保密内容（包括技术信息和经营信息）: </w:t>
      </w:r>
      <w:r>
        <w:rPr>
          <w:sz w:val="24"/>
          <w:u w:val="single"/>
        </w:rPr>
        <w:t>与本次工作有关的信息和资料；</w:t>
      </w:r>
    </w:p>
    <w:p>
      <w:pPr>
        <w:pStyle w:val="null3"/>
        <w:ind w:firstLine="480"/>
        <w:jc w:val="both"/>
      </w:pPr>
      <w:r>
        <w:rPr>
          <w:sz w:val="24"/>
        </w:rPr>
        <w:t>2．涉密人员范围:</w:t>
      </w:r>
      <w:r>
        <w:rPr>
          <w:sz w:val="24"/>
          <w:u w:val="single"/>
        </w:rPr>
        <w:t>参与本次工作的全体人员；</w:t>
      </w:r>
    </w:p>
    <w:p>
      <w:pPr>
        <w:pStyle w:val="null3"/>
        <w:ind w:firstLine="480"/>
        <w:jc w:val="both"/>
      </w:pPr>
      <w:r>
        <w:rPr>
          <w:sz w:val="24"/>
        </w:rPr>
        <w:t>3．保密期限：</w:t>
      </w:r>
      <w:r>
        <w:rPr>
          <w:sz w:val="24"/>
          <w:u w:val="single"/>
        </w:rPr>
        <w:t>按照法律规定执行；</w:t>
      </w:r>
    </w:p>
    <w:p>
      <w:pPr>
        <w:pStyle w:val="null3"/>
        <w:ind w:firstLine="480"/>
        <w:jc w:val="both"/>
      </w:pPr>
      <w:r>
        <w:rPr>
          <w:sz w:val="24"/>
        </w:rPr>
        <w:t>4．泄密责任：</w:t>
      </w:r>
      <w:r>
        <w:rPr>
          <w:sz w:val="24"/>
          <w:u w:val="single"/>
        </w:rPr>
        <w:t>按照法律规定承担有关责任。</w:t>
      </w:r>
    </w:p>
    <w:p>
      <w:pPr>
        <w:pStyle w:val="null3"/>
        <w:ind w:firstLine="480"/>
        <w:jc w:val="both"/>
      </w:pPr>
      <w:r>
        <w:rPr>
          <w:sz w:val="24"/>
        </w:rPr>
        <w:t>乙方：</w:t>
      </w:r>
    </w:p>
    <w:p>
      <w:pPr>
        <w:pStyle w:val="null3"/>
        <w:ind w:firstLine="480"/>
        <w:jc w:val="both"/>
      </w:pPr>
      <w:r>
        <w:rPr>
          <w:sz w:val="24"/>
        </w:rPr>
        <w:t xml:space="preserve">1．保密内容（包括技术信息和经营信息）: </w:t>
      </w:r>
      <w:r>
        <w:rPr>
          <w:sz w:val="24"/>
          <w:u w:val="single"/>
        </w:rPr>
        <w:t>与本次工作有关的信息和资料。保密内容：（1）乙方应对与下述事项有关的任何信息（“保密信息”）予以保密：乙方因本合同的谈判、签署及履行向其提供的全部信息。（2）项目内部审批、流转手稿和终稿。（3）除了按照《广州市城乡规划程序规定》等相关规定应向公众公开的资料之外的内容。（4）除本合同另有规定的情况外，未经甲方事先书面同意，乙方不可为其自身业务目的或其他目的使用或向任何第三方透露披露方的任何保密信息。</w:t>
      </w:r>
    </w:p>
    <w:p>
      <w:pPr>
        <w:pStyle w:val="null3"/>
        <w:ind w:firstLine="480"/>
        <w:jc w:val="both"/>
      </w:pPr>
      <w:r>
        <w:rPr>
          <w:sz w:val="24"/>
        </w:rPr>
        <w:t xml:space="preserve">2．涉密人员范围: </w:t>
      </w:r>
      <w:r>
        <w:rPr>
          <w:sz w:val="24"/>
          <w:u w:val="single"/>
        </w:rPr>
        <w:t>参与本次工作的全体人员</w:t>
      </w:r>
      <w:r>
        <w:rPr>
          <w:sz w:val="24"/>
        </w:rPr>
        <w:t>。</w:t>
      </w:r>
    </w:p>
    <w:p>
      <w:pPr>
        <w:pStyle w:val="null3"/>
        <w:ind w:firstLine="480"/>
        <w:jc w:val="both"/>
      </w:pPr>
      <w:r>
        <w:rPr>
          <w:sz w:val="24"/>
        </w:rPr>
        <w:t>3．保密期限：</w:t>
      </w:r>
      <w:r>
        <w:rPr>
          <w:sz w:val="24"/>
          <w:u w:val="single"/>
        </w:rPr>
        <w:t>按照法律规定执行。</w:t>
      </w:r>
    </w:p>
    <w:p>
      <w:pPr>
        <w:pStyle w:val="null3"/>
        <w:ind w:firstLine="480"/>
        <w:jc w:val="both"/>
      </w:pPr>
      <w:r>
        <w:rPr>
          <w:sz w:val="24"/>
        </w:rPr>
        <w:t>4．泄密责任：</w:t>
      </w:r>
      <w:r>
        <w:rPr>
          <w:sz w:val="24"/>
          <w:u w:val="single"/>
        </w:rPr>
        <w:t>按照法律规定承担有关责任</w:t>
      </w:r>
      <w:r>
        <w:rPr>
          <w:sz w:val="24"/>
        </w:rPr>
        <w:t>。</w:t>
      </w:r>
    </w:p>
    <w:p>
      <w:pPr>
        <w:pStyle w:val="null3"/>
        <w:ind w:firstLine="482"/>
        <w:jc w:val="both"/>
      </w:pPr>
      <w:r>
        <w:rPr>
          <w:sz w:val="24"/>
          <w:b/>
        </w:rPr>
        <w:t>第六条：</w:t>
      </w:r>
      <w:r>
        <w:rPr>
          <w:sz w:val="24"/>
        </w:rPr>
        <w:t>本合同的变更必须由双方协商一致，并以书面形式确定。但有下列情形之一的，一方可以向另一方提出变更合同权利与义务的请求，另一方应当在</w:t>
      </w:r>
      <w:r>
        <w:rPr>
          <w:sz w:val="24"/>
          <w:u w:val="single"/>
        </w:rPr>
        <w:t>7</w:t>
      </w:r>
      <w:r>
        <w:rPr>
          <w:sz w:val="24"/>
        </w:rPr>
        <w:t>日内予以答复；逾期未予答复的，视为同意：</w:t>
      </w:r>
    </w:p>
    <w:p>
      <w:pPr>
        <w:pStyle w:val="null3"/>
        <w:ind w:firstLine="480"/>
        <w:jc w:val="both"/>
      </w:pPr>
      <w:r>
        <w:rPr>
          <w:sz w:val="24"/>
        </w:rPr>
        <w:t>1．</w:t>
      </w:r>
      <w:r>
        <w:rPr>
          <w:sz w:val="24"/>
          <w:u w:val="single"/>
        </w:rPr>
        <w:t>国家法律、法规、政策、技术标准和规范、政府计划调整。</w:t>
      </w:r>
    </w:p>
    <w:p>
      <w:pPr>
        <w:pStyle w:val="null3"/>
        <w:ind w:firstLine="482"/>
        <w:jc w:val="both"/>
      </w:pPr>
      <w:r>
        <w:rPr>
          <w:sz w:val="24"/>
          <w:b/>
        </w:rPr>
        <w:t>第七条：双</w:t>
      </w:r>
      <w:r>
        <w:rPr>
          <w:sz w:val="24"/>
        </w:rPr>
        <w:t>方确定以下列标准和方式对乙方的技术服务工作成果进行验收：</w:t>
      </w:r>
    </w:p>
    <w:p>
      <w:pPr>
        <w:pStyle w:val="null3"/>
        <w:ind w:firstLine="480"/>
        <w:jc w:val="both"/>
      </w:pPr>
      <w:r>
        <w:rPr>
          <w:sz w:val="24"/>
        </w:rPr>
        <w:t>1．乙方完成技术服务工作的形式：</w:t>
      </w:r>
      <w:r>
        <w:rPr>
          <w:sz w:val="24"/>
          <w:u w:val="single"/>
        </w:rPr>
        <w:t>完成项目服务任务。</w:t>
      </w:r>
    </w:p>
    <w:p>
      <w:pPr>
        <w:pStyle w:val="null3"/>
        <w:ind w:firstLine="480"/>
        <w:jc w:val="both"/>
      </w:pPr>
      <w:r>
        <w:rPr>
          <w:sz w:val="24"/>
        </w:rPr>
        <w:t>2．技术服务工作成果的验收标准：</w:t>
      </w:r>
      <w:r>
        <w:rPr>
          <w:sz w:val="24"/>
          <w:u w:val="single"/>
        </w:rPr>
        <w:t>成果必须符合合同约定服务内容和任务书的有关规定，符合国家、省市有关规划和相关行业标准、技术规范，达到甲方的归档形式要求。</w:t>
      </w:r>
    </w:p>
    <w:p>
      <w:pPr>
        <w:pStyle w:val="null3"/>
        <w:ind w:firstLine="480"/>
        <w:jc w:val="both"/>
      </w:pPr>
      <w:r>
        <w:rPr>
          <w:sz w:val="24"/>
        </w:rPr>
        <w:t>3．技术服务工作成果的验收方法：</w:t>
      </w:r>
      <w:r>
        <w:rPr>
          <w:sz w:val="24"/>
          <w:u w:val="single"/>
        </w:rPr>
        <w:t>甲方组织项目评审。</w:t>
      </w:r>
    </w:p>
    <w:p>
      <w:pPr>
        <w:pStyle w:val="null3"/>
        <w:ind w:firstLine="480"/>
        <w:jc w:val="both"/>
      </w:pPr>
      <w:r>
        <w:rPr>
          <w:sz w:val="24"/>
        </w:rPr>
        <w:t>4．验收的时间和地点：</w:t>
      </w:r>
      <w:r>
        <w:rPr>
          <w:sz w:val="24"/>
          <w:u w:val="single"/>
        </w:rPr>
        <w:t>由甲方确定。</w:t>
      </w:r>
    </w:p>
    <w:p>
      <w:pPr>
        <w:pStyle w:val="null3"/>
        <w:ind w:firstLine="482"/>
        <w:jc w:val="both"/>
      </w:pPr>
      <w:r>
        <w:rPr>
          <w:sz w:val="24"/>
          <w:b/>
        </w:rPr>
        <w:t>第八条：</w:t>
      </w:r>
      <w:r>
        <w:rPr>
          <w:sz w:val="24"/>
        </w:rPr>
        <w:t>双方确定：</w:t>
      </w:r>
    </w:p>
    <w:p>
      <w:pPr>
        <w:pStyle w:val="null3"/>
        <w:ind w:firstLine="480"/>
        <w:jc w:val="both"/>
      </w:pPr>
      <w:r>
        <w:rPr>
          <w:sz w:val="24"/>
        </w:rPr>
        <w:t>1．在本合同有效期内，甲方利用乙方提交的技术服务工作成果所完成的新的技术成果，归</w:t>
      </w:r>
      <w:r>
        <w:rPr>
          <w:sz w:val="24"/>
          <w:u w:val="single"/>
        </w:rPr>
        <w:t>双</w:t>
      </w:r>
      <w:r>
        <w:rPr>
          <w:sz w:val="24"/>
        </w:rPr>
        <w:t>方所有。</w:t>
      </w:r>
    </w:p>
    <w:p>
      <w:pPr>
        <w:pStyle w:val="null3"/>
        <w:ind w:firstLine="480"/>
        <w:jc w:val="both"/>
      </w:pPr>
      <w:r>
        <w:rPr>
          <w:sz w:val="24"/>
        </w:rPr>
        <w:t>2．在本合同有效期内，乙方利用甲方提供的技术资料和工作条件所完成的新的技术成果，归</w:t>
      </w:r>
      <w:r>
        <w:rPr>
          <w:sz w:val="24"/>
          <w:u w:val="single"/>
        </w:rPr>
        <w:t>双</w:t>
      </w:r>
      <w:r>
        <w:rPr>
          <w:sz w:val="24"/>
        </w:rPr>
        <w:t>方所有。乙方提交的成果，享有署名权，以及在投标、报奖、业务推广中介绍本项目成果的权利。</w:t>
      </w:r>
    </w:p>
    <w:p>
      <w:pPr>
        <w:pStyle w:val="null3"/>
        <w:ind w:firstLine="482"/>
        <w:jc w:val="both"/>
      </w:pPr>
      <w:r>
        <w:rPr>
          <w:sz w:val="24"/>
          <w:b/>
        </w:rPr>
        <w:t>第九条：</w:t>
      </w:r>
      <w:r>
        <w:rPr>
          <w:sz w:val="24"/>
        </w:rPr>
        <w:t>双方确定，按以下约定承担各自的违约责任：</w:t>
      </w:r>
    </w:p>
    <w:p>
      <w:pPr>
        <w:pStyle w:val="null3"/>
        <w:ind w:firstLine="480"/>
        <w:jc w:val="both"/>
      </w:pPr>
      <w:r>
        <w:rPr>
          <w:sz w:val="24"/>
        </w:rPr>
        <w:t>1．甲方未按合同规定支付合同费用的，每逾期一天，甲方应向乙方支付合同应付未付金额的0.1%，违约金总额不超过合同总价的10%。</w:t>
      </w:r>
    </w:p>
    <w:p>
      <w:pPr>
        <w:pStyle w:val="null3"/>
        <w:ind w:firstLine="480"/>
        <w:jc w:val="both"/>
      </w:pPr>
      <w:r>
        <w:rPr>
          <w:sz w:val="24"/>
        </w:rPr>
        <w:t>2. 如乙方未按合同规定期限完工的，每逾期一次，向市规划和自然资源局白云区分局支付项目合同价的0.1%的逾期完工违约金。服务期内乙方逾期完工三次以上，市规划和自然资源局白云区分局有权取消其服务资格。</w:t>
      </w:r>
    </w:p>
    <w:p>
      <w:pPr>
        <w:pStyle w:val="null3"/>
        <w:ind w:firstLine="480"/>
        <w:jc w:val="both"/>
      </w:pPr>
      <w:r>
        <w:rPr>
          <w:sz w:val="24"/>
        </w:rPr>
        <w:t>3．乙方未按时响应或未能按承诺要求完成项目工作时应当承担违约责任，广州市规划和自然资源局白云区分局（广州市白云区林业局）有权取消其服务资格，乙方必须按照广州市规划和自然资源局白云区分局（广州市白云区林业局）的要求，移交相关工作资料。如造成重大影响的（如造成信访问题、造成负面新闻效果、泄露保密事项、错漏业务件等），根据情节严重程度，乙方应每宗支付广州市规划和自然资源局白云区分局（广州市白云区林业局）合同价的1-5%的违约金。</w:t>
      </w:r>
    </w:p>
    <w:p>
      <w:pPr>
        <w:pStyle w:val="null3"/>
        <w:ind w:firstLine="480"/>
        <w:jc w:val="both"/>
      </w:pPr>
      <w:r>
        <w:rPr>
          <w:sz w:val="24"/>
        </w:rPr>
        <w:t>4．乙方未按合同约定完成项目任务，造成重大影响达三次以上的，甲方有权解除合同，并要求乙方退还甲方已支付的合同价款，向甲方移交相关工作资料。</w:t>
      </w:r>
    </w:p>
    <w:p>
      <w:pPr>
        <w:pStyle w:val="null3"/>
        <w:ind w:firstLine="480"/>
        <w:jc w:val="both"/>
      </w:pPr>
      <w:r>
        <w:rPr>
          <w:sz w:val="24"/>
        </w:rPr>
        <w:t>5．乙方不得将本项目外包、分包其他任何第三方，否则广州市规划和自然资源局白云区分局（广州市白云区林业局）有权解除合同，并要求乙方赔偿采购预算20%的违约金。</w:t>
      </w:r>
    </w:p>
    <w:p>
      <w:pPr>
        <w:pStyle w:val="null3"/>
        <w:ind w:firstLine="482"/>
        <w:jc w:val="both"/>
      </w:pPr>
      <w:r>
        <w:rPr>
          <w:sz w:val="24"/>
          <w:b/>
        </w:rPr>
        <w:t>第十条：</w:t>
      </w:r>
      <w:r>
        <w:rPr>
          <w:sz w:val="24"/>
        </w:rPr>
        <w:t>双方确定，在本合同有效期内，乙方服务团队要求如下：</w:t>
      </w:r>
    </w:p>
    <w:p>
      <w:pPr>
        <w:pStyle w:val="null3"/>
        <w:ind w:firstLine="480"/>
        <w:jc w:val="both"/>
      </w:pPr>
      <w:r>
        <w:rPr>
          <w:sz w:val="24"/>
        </w:rPr>
        <w:t>1．为支持和保障行政机关的工作效率，方便与甲方进行即时的沟通、审查、修改图纸及处理网上公示公布应急需求，乙方需安排1名人员提供驻场服务，对于部分急件应当按照甲方的要求当天内快速响应。同时，根据甲方需求，视情况增加1名人员提供驻场服务，驻场服务相关费用由乙方负责。</w:t>
      </w:r>
    </w:p>
    <w:p>
      <w:pPr>
        <w:pStyle w:val="null3"/>
        <w:ind w:firstLine="480"/>
        <w:jc w:val="both"/>
      </w:pPr>
      <w:r>
        <w:rPr>
          <w:sz w:val="24"/>
        </w:rPr>
        <w:t>2．应具备良好的信息安全管理措施，遵守国家和省、市信息安全管理规范的要求。</w:t>
      </w:r>
    </w:p>
    <w:p>
      <w:pPr>
        <w:pStyle w:val="null3"/>
        <w:ind w:firstLine="480"/>
        <w:jc w:val="both"/>
      </w:pPr>
      <w:r>
        <w:rPr>
          <w:sz w:val="24"/>
        </w:rPr>
        <w:t>3．熟悉国家、省、市城乡规划及建设工程设计相关法律法规和规范，具备相关资格及工作经验。项目服务人员具体要求如下：</w:t>
      </w:r>
    </w:p>
    <w:p>
      <w:pPr>
        <w:pStyle w:val="null3"/>
        <w:ind w:firstLine="480"/>
        <w:jc w:val="both"/>
      </w:pPr>
      <w:r>
        <w:rPr>
          <w:sz w:val="24"/>
        </w:rPr>
        <w:t>（1）项目负责人要求具有本科或以上学历，且具有10年以上（含10年）从事规划公示公布设计工作经验（工作开始时间以大学本科或以上学历毕业证书发证日期为准），且具有城乡（市）规划专业高级工程师或建筑设计类专业高级工程师。项目负责人具有硕士学位和城乡（市）规划专业正高级（教授级）工程师或建筑设计类专业正高级（教授级）工程师专业技术职称为佳。</w:t>
      </w:r>
    </w:p>
    <w:p>
      <w:pPr>
        <w:pStyle w:val="null3"/>
        <w:ind w:firstLine="480"/>
        <w:jc w:val="both"/>
      </w:pPr>
      <w:r>
        <w:rPr>
          <w:sz w:val="24"/>
        </w:rPr>
        <w:t>（2）项目主要技术人员要求：至少2名具有5年（含5年，工作开始时间以大学本科毕业证书发证日期为准）以上从事规划公示公布设计工作经验，具有城乡（市）规划工程师（或以上）技术职称，或建筑设计类工程师（或以上）技术职称的专业技术人员；至少5名具有本科或以上学历，具有3年以上（含3年，工作开始时间以大学本科毕业证书发证日期为准）相关设计工作经验专业技术人员，且其中至少2名须具有城乡（市）规划专业工程师（或以上）技术职称或建筑设计类专业工程师（或以上）技术职称。</w:t>
      </w:r>
    </w:p>
    <w:p>
      <w:pPr>
        <w:pStyle w:val="null3"/>
        <w:ind w:firstLine="480"/>
        <w:jc w:val="both"/>
      </w:pPr>
      <w:r>
        <w:rPr>
          <w:sz w:val="24"/>
        </w:rPr>
        <w:t>（3）原则上乙方所提供的上述人员（项目负责人、项目主要技术人员）不得随意更换或调整，确因特殊原因（如离职、健康问题等不可抗力因素）导致需要调换的，须在调换前5个工作日向甲方提出申请说明，经甲方同意后方可进行调整，更换后的相关人员必须同等或优于原人员的条件。在服务期内，如甲方发现乙方所派的人员不符合要求的，甲方有权要求乙方立即更换相应人员，否则有权终止合同，并追究乙方的违约责任。</w:t>
      </w:r>
    </w:p>
    <w:p>
      <w:pPr>
        <w:pStyle w:val="null3"/>
        <w:ind w:firstLine="482"/>
        <w:jc w:val="both"/>
      </w:pPr>
      <w:r>
        <w:rPr>
          <w:sz w:val="24"/>
          <w:b/>
        </w:rPr>
        <w:t>第十一条：</w:t>
      </w:r>
      <w:r>
        <w:rPr>
          <w:sz w:val="24"/>
        </w:rPr>
        <w:t>双方确定，出现下列情形，致使本合同的履行成为不必要或不可能的，可以解除本合同：</w:t>
      </w:r>
    </w:p>
    <w:p>
      <w:pPr>
        <w:pStyle w:val="null3"/>
        <w:ind w:firstLine="480"/>
        <w:jc w:val="both"/>
      </w:pPr>
      <w:r>
        <w:rPr>
          <w:sz w:val="24"/>
        </w:rPr>
        <w:t>1．</w:t>
      </w:r>
      <w:r>
        <w:rPr>
          <w:sz w:val="24"/>
          <w:u w:val="single"/>
        </w:rPr>
        <w:t>发生政策调整、自然灾害等不可抗力；</w:t>
      </w:r>
    </w:p>
    <w:p>
      <w:pPr>
        <w:pStyle w:val="null3"/>
        <w:ind w:firstLine="480"/>
        <w:jc w:val="both"/>
      </w:pPr>
      <w:r>
        <w:rPr>
          <w:sz w:val="24"/>
        </w:rPr>
        <w:t>2．</w:t>
      </w:r>
      <w:r>
        <w:rPr>
          <w:sz w:val="24"/>
          <w:u w:val="single"/>
        </w:rPr>
        <w:t>一方迟延履行合同，经催告后在合理期限内仍未履行合同的</w:t>
      </w:r>
      <w:r>
        <w:rPr>
          <w:sz w:val="24"/>
        </w:rPr>
        <w:t>；</w:t>
      </w:r>
    </w:p>
    <w:p>
      <w:pPr>
        <w:pStyle w:val="null3"/>
        <w:ind w:firstLine="480"/>
        <w:jc w:val="both"/>
      </w:pPr>
      <w:r>
        <w:rPr>
          <w:sz w:val="24"/>
        </w:rPr>
        <w:t>3．</w:t>
      </w:r>
      <w:r>
        <w:rPr>
          <w:sz w:val="24"/>
          <w:u w:val="single"/>
        </w:rPr>
        <w:t>一方迟延履行或者有其它违约行为致使不能实现合同目的的</w:t>
      </w:r>
      <w:r>
        <w:rPr>
          <w:sz w:val="24"/>
        </w:rPr>
        <w:t>。</w:t>
      </w:r>
    </w:p>
    <w:p>
      <w:pPr>
        <w:pStyle w:val="null3"/>
        <w:ind w:firstLine="482"/>
        <w:jc w:val="both"/>
      </w:pPr>
      <w:r>
        <w:rPr>
          <w:sz w:val="24"/>
          <w:b/>
        </w:rPr>
        <w:t>第十二条：</w:t>
      </w:r>
      <w:r>
        <w:rPr>
          <w:sz w:val="24"/>
        </w:rPr>
        <w:t>双方因履行本合同而发生的争议，应协商、调解解决。协商、调解不成的，确定按以下第</w:t>
      </w:r>
      <w:r>
        <w:rPr>
          <w:sz w:val="24"/>
          <w:u w:val="single"/>
        </w:rPr>
        <w:t>2</w:t>
      </w:r>
      <w:r>
        <w:rPr>
          <w:sz w:val="24"/>
        </w:rPr>
        <w:t>种方式处理：</w:t>
      </w:r>
    </w:p>
    <w:p>
      <w:pPr>
        <w:pStyle w:val="null3"/>
        <w:ind w:firstLine="480"/>
        <w:jc w:val="both"/>
      </w:pPr>
      <w:r>
        <w:rPr>
          <w:sz w:val="24"/>
        </w:rPr>
        <w:t>1．提交</w:t>
      </w:r>
      <w:r>
        <w:rPr>
          <w:sz w:val="24"/>
          <w:u w:val="single"/>
        </w:rPr>
        <w:t>中国广州</w:t>
      </w:r>
      <w:r>
        <w:rPr>
          <w:sz w:val="24"/>
        </w:rPr>
        <w:t>仲裁委员会仲裁；</w:t>
      </w:r>
    </w:p>
    <w:p>
      <w:pPr>
        <w:pStyle w:val="null3"/>
        <w:ind w:firstLine="480"/>
        <w:jc w:val="both"/>
      </w:pPr>
      <w:r>
        <w:rPr>
          <w:sz w:val="24"/>
        </w:rPr>
        <w:t>2．依法向甲方所在地人民法院起诉。</w:t>
      </w:r>
    </w:p>
    <w:p>
      <w:pPr>
        <w:pStyle w:val="null3"/>
        <w:ind w:firstLine="482"/>
        <w:jc w:val="both"/>
      </w:pPr>
      <w:r>
        <w:rPr>
          <w:sz w:val="24"/>
          <w:b/>
        </w:rPr>
        <w:t>第十三条：</w:t>
      </w:r>
      <w:r>
        <w:rPr>
          <w:sz w:val="24"/>
        </w:rPr>
        <w:t>双方确定：本合同及相关附件中所涉及的有关名词和技术术语，其定义和解释如下：</w:t>
      </w:r>
    </w:p>
    <w:p>
      <w:pPr>
        <w:pStyle w:val="null3"/>
        <w:ind w:firstLine="480"/>
        <w:jc w:val="both"/>
      </w:pPr>
      <w:r>
        <w:rPr>
          <w:sz w:val="24"/>
        </w:rPr>
        <w:t>1．</w:t>
      </w:r>
      <w:r>
        <w:rPr>
          <w:sz w:val="24"/>
          <w:u w:val="single"/>
        </w:rPr>
        <w:t>无。</w:t>
      </w:r>
    </w:p>
    <w:p>
      <w:pPr>
        <w:pStyle w:val="null3"/>
        <w:ind w:firstLine="482"/>
        <w:jc w:val="both"/>
      </w:pPr>
      <w:r>
        <w:rPr>
          <w:sz w:val="24"/>
          <w:b/>
        </w:rPr>
        <w:t>第十四条：</w:t>
      </w:r>
      <w:r>
        <w:rPr>
          <w:sz w:val="24"/>
        </w:rPr>
        <w:t>与履行本合同有关的下列技术文件，经双方确认后，为本合同的组成部分：</w:t>
      </w:r>
    </w:p>
    <w:p>
      <w:pPr>
        <w:pStyle w:val="null3"/>
        <w:ind w:firstLine="480"/>
        <w:jc w:val="both"/>
      </w:pPr>
      <w:r>
        <w:rPr>
          <w:sz w:val="24"/>
        </w:rPr>
        <w:t>1．技术背景资料：</w:t>
      </w:r>
      <w:r>
        <w:rPr>
          <w:sz w:val="24"/>
          <w:u w:val="single"/>
        </w:rPr>
        <w:t xml:space="preserve"> 无 </w:t>
      </w:r>
      <w:r>
        <w:rPr>
          <w:sz w:val="24"/>
        </w:rPr>
        <w:t>；</w:t>
      </w:r>
    </w:p>
    <w:p>
      <w:pPr>
        <w:pStyle w:val="null3"/>
        <w:ind w:firstLine="480"/>
        <w:jc w:val="both"/>
      </w:pPr>
      <w:r>
        <w:rPr>
          <w:sz w:val="24"/>
        </w:rPr>
        <w:t>2．可行性论证报告：</w:t>
      </w:r>
      <w:r>
        <w:rPr>
          <w:sz w:val="24"/>
          <w:u w:val="single"/>
        </w:rPr>
        <w:t xml:space="preserve"> 无 </w:t>
      </w:r>
      <w:r>
        <w:rPr>
          <w:sz w:val="24"/>
        </w:rPr>
        <w:t>；</w:t>
      </w:r>
    </w:p>
    <w:p>
      <w:pPr>
        <w:pStyle w:val="null3"/>
        <w:ind w:firstLine="480"/>
        <w:jc w:val="both"/>
      </w:pPr>
      <w:r>
        <w:rPr>
          <w:sz w:val="24"/>
        </w:rPr>
        <w:t>3．技术评价报告：</w:t>
      </w:r>
      <w:r>
        <w:rPr>
          <w:sz w:val="24"/>
          <w:u w:val="single"/>
        </w:rPr>
        <w:t xml:space="preserve"> 无 </w:t>
      </w:r>
      <w:r>
        <w:rPr>
          <w:sz w:val="24"/>
        </w:rPr>
        <w:t>；</w:t>
      </w:r>
    </w:p>
    <w:p>
      <w:pPr>
        <w:pStyle w:val="null3"/>
        <w:ind w:firstLine="480"/>
        <w:jc w:val="both"/>
      </w:pPr>
      <w:r>
        <w:rPr>
          <w:sz w:val="24"/>
        </w:rPr>
        <w:t>4．技术标准和规范：</w:t>
      </w:r>
      <w:r>
        <w:rPr>
          <w:sz w:val="24"/>
          <w:u w:val="single"/>
        </w:rPr>
        <w:t xml:space="preserve"> 无 </w:t>
      </w:r>
      <w:r>
        <w:rPr>
          <w:sz w:val="24"/>
        </w:rPr>
        <w:t>；</w:t>
      </w:r>
    </w:p>
    <w:p>
      <w:pPr>
        <w:pStyle w:val="null3"/>
        <w:ind w:firstLine="480"/>
        <w:jc w:val="both"/>
      </w:pPr>
      <w:r>
        <w:rPr>
          <w:sz w:val="24"/>
        </w:rPr>
        <w:t>5．原始设计和工艺文件：</w:t>
      </w:r>
      <w:r>
        <w:rPr>
          <w:sz w:val="24"/>
          <w:u w:val="single"/>
        </w:rPr>
        <w:t xml:space="preserve"> 无 </w:t>
      </w:r>
      <w:r>
        <w:rPr>
          <w:sz w:val="24"/>
        </w:rPr>
        <w:t>；</w:t>
      </w:r>
    </w:p>
    <w:p>
      <w:pPr>
        <w:pStyle w:val="null3"/>
        <w:ind w:firstLine="480"/>
        <w:jc w:val="both"/>
      </w:pPr>
      <w:r>
        <w:rPr>
          <w:sz w:val="24"/>
        </w:rPr>
        <w:t>6．其他：</w:t>
      </w:r>
      <w:r>
        <w:rPr>
          <w:sz w:val="24"/>
          <w:u w:val="single"/>
        </w:rPr>
        <w:t xml:space="preserve"> 无   </w:t>
      </w:r>
      <w:r>
        <w:rPr>
          <w:sz w:val="24"/>
        </w:rPr>
        <w:t>。</w:t>
      </w:r>
    </w:p>
    <w:p>
      <w:pPr>
        <w:pStyle w:val="null3"/>
        <w:ind w:firstLine="482"/>
        <w:jc w:val="both"/>
      </w:pPr>
      <w:r>
        <w:rPr>
          <w:sz w:val="24"/>
          <w:b/>
        </w:rPr>
        <w:t>第十五条：</w:t>
      </w:r>
      <w:r>
        <w:rPr>
          <w:sz w:val="24"/>
        </w:rPr>
        <w:t>双方约定本合同其他相关事项为：</w:t>
      </w:r>
    </w:p>
    <w:p>
      <w:pPr>
        <w:pStyle w:val="null3"/>
        <w:ind w:firstLine="480"/>
        <w:jc w:val="both"/>
      </w:pPr>
      <w:r>
        <w:rPr>
          <w:sz w:val="24"/>
        </w:rPr>
        <w:t>1．乙方须完全遵守《中华人民共和国劳动合同法》有关规定和《中华人民共和国妇女权益保障法》中关于“劳动和社会保障权益”的有关要求。</w:t>
      </w:r>
    </w:p>
    <w:p>
      <w:pPr>
        <w:pStyle w:val="null3"/>
        <w:ind w:firstLine="480"/>
        <w:jc w:val="both"/>
      </w:pPr>
      <w:r>
        <w:rPr>
          <w:sz w:val="24"/>
        </w:rPr>
        <w:t>2．本合同未尽事宜，均按《中华人民共和国民法典》有关规定执行，双方也可签订补充协议，补充协议与本合同具有同等法律效力。</w:t>
      </w:r>
    </w:p>
    <w:p>
      <w:pPr>
        <w:pStyle w:val="null3"/>
        <w:ind w:firstLine="480"/>
        <w:jc w:val="both"/>
      </w:pPr>
      <w:r>
        <w:rPr>
          <w:sz w:val="24"/>
        </w:rPr>
        <w:t>3．本合同首部双方联系方式和联系信息适用于双方往来联系、书面文件送达及争议解决时法律文书送达。因首部联系方式和联系信息而无法直接送达的自交邮后第7天视为送达。如一方地址、电话、传真号码有变更，应在变更 10 日内书面通知对方，否则，应承担相应责任。</w:t>
      </w:r>
    </w:p>
    <w:p>
      <w:pPr>
        <w:pStyle w:val="null3"/>
        <w:ind w:firstLine="482"/>
        <w:jc w:val="both"/>
      </w:pPr>
      <w:r>
        <w:rPr>
          <w:sz w:val="24"/>
          <w:b/>
        </w:rPr>
        <w:t>第十六条：</w:t>
      </w:r>
      <w:r>
        <w:rPr>
          <w:sz w:val="24"/>
        </w:rPr>
        <w:t>本合同一式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份，具有同等法律效力。</w:t>
      </w:r>
    </w:p>
    <w:p>
      <w:pPr>
        <w:pStyle w:val="null3"/>
        <w:ind w:firstLine="482"/>
        <w:jc w:val="both"/>
      </w:pPr>
      <w:r>
        <w:rPr>
          <w:sz w:val="24"/>
          <w:b/>
        </w:rPr>
        <w:t>第十七条：</w:t>
      </w:r>
      <w:r>
        <w:rPr>
          <w:sz w:val="24"/>
        </w:rPr>
        <w:t>本合同经双方签字盖章后生效。</w:t>
      </w:r>
    </w:p>
    <w:p>
      <w:pPr>
        <w:pStyle w:val="null3"/>
        <w:ind w:firstLine="480"/>
        <w:jc w:val="both"/>
      </w:pPr>
      <w:r>
        <w:rPr>
          <w:sz w:val="24"/>
        </w:rPr>
        <w:t>（本页以下无正文）</w:t>
      </w:r>
    </w:p>
    <w:p>
      <w:pPr>
        <w:pStyle w:val="null3"/>
        <w:jc w:val="both"/>
      </w:pPr>
      <w:r>
        <w:rPr>
          <w:sz w:val="24"/>
        </w:rPr>
        <w:t>甲方：</w:t>
      </w:r>
      <w:r>
        <w:rPr>
          <w:sz w:val="24"/>
          <w:u w:val="single"/>
        </w:rPr>
        <w:t>（盖章）</w:t>
      </w:r>
    </w:p>
    <w:p>
      <w:pPr>
        <w:pStyle w:val="null3"/>
        <w:ind w:firstLine="480"/>
        <w:jc w:val="both"/>
      </w:pPr>
      <w:r>
        <w:rPr>
          <w:sz w:val="24"/>
        </w:rPr>
        <w:t>法定代表人／委托代理人：</w:t>
      </w:r>
      <w:r>
        <w:rPr>
          <w:sz w:val="24"/>
          <w:u w:val="single"/>
        </w:rPr>
        <w:t>（签名）</w:t>
      </w:r>
    </w:p>
    <w:p>
      <w:pPr>
        <w:pStyle w:val="null3"/>
        <w:ind w:firstLine="480"/>
        <w:jc w:val="right"/>
      </w:pPr>
      <w:r>
        <w:rPr>
          <w:sz w:val="24"/>
        </w:rPr>
        <w:t>年     月     日</w:t>
      </w:r>
    </w:p>
    <w:p>
      <w:pPr>
        <w:pStyle w:val="null3"/>
        <w:ind w:firstLine="480"/>
        <w:jc w:val="both"/>
      </w:pPr>
      <w:r>
        <w:rPr>
          <w:sz w:val="24"/>
        </w:rPr>
        <w:t>乙方：</w:t>
      </w:r>
      <w:r>
        <w:rPr>
          <w:sz w:val="24"/>
          <w:u w:val="single"/>
        </w:rPr>
        <w:t>（盖章）</w:t>
      </w:r>
    </w:p>
    <w:p>
      <w:pPr>
        <w:pStyle w:val="null3"/>
        <w:ind w:firstLine="480"/>
        <w:jc w:val="both"/>
      </w:pPr>
      <w:r>
        <w:rPr>
          <w:sz w:val="24"/>
        </w:rPr>
        <w:t>法定代表人／委托代理人：</w:t>
      </w:r>
      <w:r>
        <w:rPr>
          <w:sz w:val="24"/>
          <w:u w:val="single"/>
        </w:rPr>
        <w:t>（签名）</w:t>
      </w:r>
    </w:p>
    <w:p>
      <w:pPr>
        <w:pStyle w:val="null3"/>
        <w:ind w:firstLine="480"/>
        <w:jc w:val="right"/>
      </w:pPr>
      <w:r>
        <w:rPr>
          <w:sz w:val="24"/>
        </w:rPr>
        <w:t>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440111-2025-01967</w:t>
      </w:r>
    </w:p>
    <w:p>
      <w:pPr>
        <w:pStyle w:val="null3"/>
        <w:jc w:val="center"/>
        <w:outlineLvl w:val="3"/>
      </w:pPr>
      <w:r>
        <w:rPr>
          <w:sz w:val="24"/>
          <w:b/>
        </w:rPr>
        <w:t>采购项目编号：</w:t>
      </w:r>
      <w:r>
        <w:rPr>
          <w:sz w:val="24"/>
          <w:b/>
        </w:rPr>
        <w:t>GZCQC2500FG04012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2025年下半年至2026年上半年规划实施公示公布工作项目</w:t>
      </w:r>
      <w:r>
        <w:rPr>
          <w:u w:val="single"/>
        </w:rPr>
        <w:t>”</w:t>
      </w:r>
      <w:r>
        <w:rPr/>
        <w:t>项目的招标[采购项目编号为：</w:t>
      </w:r>
      <w:r>
        <w:rPr>
          <w:u w:val="single"/>
        </w:rPr>
        <w:t>GZCQC2500FG04012</w:t>
      </w:r>
      <w:r>
        <w:rPr/>
        <w:t>]，我方愿参与投标。</w:t>
      </w:r>
    </w:p>
    <w:p>
      <w:pPr>
        <w:pStyle w:val="null3"/>
        <w:ind w:firstLine="480"/>
      </w:pPr>
      <w:r>
        <w:rPr/>
        <w:t>我方确认收到贵方提供的</w:t>
      </w:r>
      <w:r>
        <w:rPr>
          <w:u w:val="single"/>
        </w:rPr>
        <w:t>“</w:t>
      </w:r>
      <w:r>
        <w:rPr>
          <w:u w:val="single"/>
        </w:rPr>
        <w:t>2025年下半年至2026年上半年规划实施公示公布工作项目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2025年下半年至2026年上半年规划实施公示公布工作项目</w:t>
      </w:r>
      <w:r>
        <w:rPr/>
        <w:t>”项目采购[采购项目编号为</w:t>
      </w:r>
      <w:r>
        <w:rPr/>
        <w:t>GZCQC2500FG04012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广州市规划和自然资源局白云区分局（广州市白云区林业局）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2025年下半年至2026年上半年规划实施公示公布工作项目</w:t>
      </w:r>
      <w:r>
        <w:rPr/>
        <w:t>招标中获中标（采购项目编号：</w:t>
      </w:r>
      <w:r>
        <w:rPr/>
        <w:t>GZCQC2500FG04012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