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440001-2025-11529</w:t>
      </w:r>
    </w:p>
    <w:p>
      <w:pPr>
        <w:pStyle w:val="null3"/>
        <w:jc w:val="center"/>
        <w:outlineLvl w:val="3"/>
      </w:pPr>
      <w:r>
        <w:rPr>
          <w:sz w:val="24"/>
          <w:b/>
        </w:rPr>
        <w:t>采购项目编号：</w:t>
      </w:r>
      <w:r>
        <w:rPr>
          <w:sz w:val="24"/>
          <w:b/>
        </w:rPr>
        <w:t>GZCQC2500FD03001</w:t>
      </w:r>
    </w:p>
    <w:p>
      <w:pPr>
        <w:pStyle w:val="null3"/>
        <w:jc w:val="center"/>
        <w:outlineLvl w:val="3"/>
      </w:pPr>
      <w:r>
        <w:rPr>
          <w:sz w:val="24"/>
          <w:b/>
        </w:rPr>
        <w:t>项目名称：</w:t>
      </w:r>
      <w:r>
        <w:rPr>
          <w:sz w:val="24"/>
          <w:b/>
        </w:rPr>
        <w:t>广东省体育彩票中心体育彩票生产销售系统网络与信息安全服务</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广东省体育彩票中心</w:t>
      </w:r>
      <w:r>
        <w:rPr/>
        <w:t>的委托，采用</w:t>
      </w:r>
      <w:r>
        <w:rPr/>
        <w:t>单一来源</w:t>
      </w:r>
      <w:r>
        <w:rPr/>
        <w:t>方式组织采购</w:t>
      </w:r>
      <w:r>
        <w:rPr/>
        <w:t>广东省体育彩票中心体育彩票生产销售系统网络与信息安全服务</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广东省体育彩票中心体育彩票生产销售系统网络与信息安全服务</w:t>
      </w:r>
    </w:p>
    <w:p>
      <w:pPr>
        <w:pStyle w:val="null3"/>
        <w:ind w:firstLine="480"/>
      </w:pPr>
      <w:r>
        <w:rPr/>
        <w:t>采购计划编号：</w:t>
      </w:r>
      <w:r>
        <w:rPr/>
        <w:t>440001-2025-11529</w:t>
      </w:r>
    </w:p>
    <w:p>
      <w:pPr>
        <w:pStyle w:val="null3"/>
        <w:ind w:firstLine="480"/>
      </w:pPr>
      <w:r>
        <w:rPr/>
        <w:t>采购项目编号：</w:t>
      </w:r>
      <w:r>
        <w:rPr/>
        <w:t>GZCQC2500FD03001</w:t>
      </w:r>
    </w:p>
    <w:p>
      <w:pPr>
        <w:pStyle w:val="null3"/>
        <w:ind w:firstLine="480"/>
      </w:pPr>
      <w:r>
        <w:rPr/>
        <w:t>采购方式：</w:t>
      </w:r>
      <w:r>
        <w:rPr/>
        <w:t>单一来源</w:t>
      </w:r>
    </w:p>
    <w:p>
      <w:pPr>
        <w:pStyle w:val="null3"/>
        <w:ind w:firstLine="480"/>
      </w:pPr>
      <w:r>
        <w:rPr/>
        <w:t>预算金额：</w:t>
      </w:r>
      <w:r>
        <w:rPr/>
        <w:t>3,840,000.00</w:t>
      </w:r>
      <w:r>
        <w:rPr/>
        <w:t>元</w:t>
      </w:r>
    </w:p>
    <w:p>
      <w:pPr>
        <w:pStyle w:val="null3"/>
        <w:outlineLvl w:val="3"/>
      </w:pPr>
      <w:r>
        <w:rPr>
          <w:sz w:val="24"/>
          <w:b/>
        </w:rPr>
        <w:t>2.项目内容及需求情况（采购项目技术规格、参数及要求）</w:t>
      </w:r>
    </w:p>
    <w:p>
      <w:pPr>
        <w:pStyle w:val="null3"/>
      </w:pPr>
      <w:r>
        <w:rPr/>
        <w:t>采购包1(广东省体育彩票中心体育彩票生产销售系统网络与信息安全服务):</w:t>
      </w:r>
    </w:p>
    <w:p>
      <w:pPr>
        <w:pStyle w:val="null3"/>
      </w:pPr>
      <w:r>
        <w:rPr/>
        <w:t>采购包预算金额：3,840,000.00元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安全运维服务</w:t>
            </w:r>
          </w:p>
        </w:tc>
        <w:tc>
          <w:tcPr>
            <w:tcW w:type="dxa" w:w="2136"/>
          </w:tcPr>
          <w:p>
            <w:pPr>
              <w:pStyle w:val="null3"/>
            </w:pPr>
            <w:r>
              <w:rPr/>
              <w:t>广东省体育彩票中心体育彩票生产销售系统网络与信息安全服务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合同履行期限：自合同生效之日起两年。</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广东省体育彩票中心体育彩票生产销售系统网络与信息安全服务</w:t>
            </w:r>
          </w:p>
        </w:tc>
        <w:tc>
          <w:tcPr>
            <w:tcW w:type="dxa" w:w="2076"/>
          </w:tcPr>
          <w:p>
            <w:pPr>
              <w:pStyle w:val="null3"/>
            </w:pPr>
            <w:r>
              <w:rPr/>
              <w:t>中体彩科技发展有限公司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采购包1（广东省体育彩票中心体育彩票生产销售系统网络与信息安全服务）：</w:t>
      </w:r>
      <w:r>
        <w:rPr/>
        <w:t>本项目非专门面向中小企业采购。</w:t>
      </w:r>
    </w:p>
    <w:p>
      <w:pPr>
        <w:pStyle w:val="null3"/>
        <w:outlineLvl w:val="3"/>
      </w:pPr>
      <w:r>
        <w:rPr>
          <w:sz w:val="24"/>
          <w:b/>
        </w:rPr>
        <w:t>3.本项目的特定资格要求：</w:t>
      </w:r>
    </w:p>
    <w:p>
      <w:pPr>
        <w:pStyle w:val="null3"/>
      </w:pPr>
      <w:r>
        <w:rPr/>
        <w:t>采购包1（广东省体育彩票中心体育彩票生产销售系统网络与信息安全服务）：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020-37602594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为了满足体育彩票业务开展需要，国家体育总局体育彩票管理中心（以下简称“总局体彩中心”）已经建设了支撑各类游戏产品销售的实时在线交易系统，以及其配套的管理系统，这些系统是支撑体育彩票发行销售业务开展的重要信息系统，关系到彩票公信力和广大彩票购买者的切身利益，也是国家信息安全重点保障对象。伴随着2025年第十五届全国运动会、2025年第十二届世界运动会、2026年世界杯足球赛等大赛的日益临近，体育系统的信息安全成为国家信息安全的重中之重。</w:t>
      </w:r>
    </w:p>
    <w:p>
      <w:pPr>
        <w:pStyle w:val="null3"/>
        <w:ind w:firstLine="420"/>
        <w:jc w:val="both"/>
      </w:pPr>
      <w:r>
        <w:rPr>
          <w:sz w:val="24"/>
        </w:rPr>
        <w:t>2017年6月1日，《中华人民共和国网络安全法》正式施行，将网络安全各项工作带入法治化轨道，随后陆续出台《密码法》、《数据安全法》、《个人信息保护法》、《信息安全技术网路安全等级保护基本要求》（等保2.0）等一系列法律法规，2020年12月国家体育总局发布《国家体育总局网络安全管理办法》，合规监管力度逐年加强，故我中心拟设立网络与信息安全服务项目，不断加强自身信息安全日常管理能力，与总局体彩中心实现专有联防联控平台对接，按照“一个中心三重防护”原则实现联通总局体彩中心威胁实时同步、实时预警、实时防护。</w:t>
      </w:r>
    </w:p>
    <w:p>
      <w:pPr>
        <w:pStyle w:val="null3"/>
      </w:pPr>
      <w:r>
        <w:rPr/>
        <w:t>采购包1（广东省体育彩票中心体育彩票生产销售系统网络与信息安全服务）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自合同生效之日起两年。</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第1期为(款项)：支付比例50%，签订合同后，15个工作日内，成交供应商向采购人开具合同总金额50%的发票，办理50%金额合同款支付手续，采购人在收到发票后5个工作日内办理支付。</w:t>
            </w:r>
          </w:p>
          <w:p>
            <w:pPr>
              <w:pStyle w:val="null3"/>
            </w:pPr>
            <w:r>
              <w:rPr/>
              <w:t>第2期为(款项)：支付比例50%，2026年5月份，成交供应商向采购人开具合同总金额50%的发票，办理50%金额合同款支付手续，采购人在收到发票后5个工作日内办理支付。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1期：双方确定，按下列标准和方式对成交供应商提交的服务工作成果进行验收： 1、成交供应商按时实施网络安全常态化安全运营工作，按时提供相关报告及方案。 2、成交供应商须协助采购人实施并完成相关网络安全服务工作，及时有效的规避和处置网络安全风险，协助采购人解决安全突发事件；提供并保留相关安全事件记录。 3、合同期满前10个工作日内，采购人根据成交供应商整体服务期服务情况出具整体服务期服务验收报告，双方确认且加盖公章后双方归档留存。</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1.★项目预算（最高限价），本项目最高限价为3,840,000.00元，凡超出最高限价的，一律视为无效报价。</w:t>
            </w:r>
          </w:p>
          <w:p>
            <w:pPr>
              <w:pStyle w:val="null3"/>
            </w:pPr>
            <w:r>
              <w:rPr/>
              <w:t>2.报价组成，包括完成本项目所需的设备设施费用、人员费用、管理费用及税费等成交供应商为履行本合同所有不可预见费用，采购人不再支付其他任何费用。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安全运维服务</w:t>
            </w:r>
          </w:p>
        </w:tc>
        <w:tc>
          <w:tcPr>
            <w:tcW w:type="dxa" w:w="933"/>
          </w:tcPr>
          <w:p>
            <w:pPr>
              <w:pStyle w:val="null3"/>
              <w:jc w:val="left"/>
            </w:pPr>
            <w:r>
              <w:rPr/>
              <w:t>广东省体育彩票中心体育彩票生产销售系统网络与信息安全服务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3,840,000.00</w:t>
            </w:r>
          </w:p>
        </w:tc>
        <w:tc>
          <w:tcPr>
            <w:tcW w:type="dxa" w:w="933"/>
          </w:tcPr>
          <w:p>
            <w:pPr>
              <w:pStyle w:val="null3"/>
              <w:jc w:val="right"/>
            </w:pPr>
            <w:r>
              <w:rPr/>
              <w:t>3,840,000.00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广东省体育彩票中心体育彩票生产销售系统网络与信息安全服务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一、专有技术服务内容</w:t>
            </w:r>
          </w:p>
          <w:tbl>
            <w:tblPr>
              <w:tblBorders>
                <w:top w:val="none" w:color="000000" w:sz="4"/>
                <w:left w:val="none" w:color="000000" w:sz="4"/>
                <w:bottom w:val="none" w:color="000000" w:sz="4"/>
                <w:right w:val="none" w:color="000000" w:sz="4"/>
                <w:insideH w:val="none"/>
                <w:insideV w:val="none"/>
              </w:tblBorders>
            </w:tblPr>
            <w:tblGrid>
              <w:gridCol w:w="566"/>
              <w:gridCol w:w="848"/>
              <w:gridCol w:w="1301"/>
              <w:gridCol w:w="2828"/>
            </w:tblGrid>
            <w:tr>
              <w:tc>
                <w:tcPr>
                  <w:tcW w:type="dxa" w:w="56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b/>
                    </w:rPr>
                    <w:t>序号</w:t>
                  </w:r>
                </w:p>
              </w:tc>
              <w:tc>
                <w:tcPr>
                  <w:tcW w:type="dxa" w:w="84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b/>
                    </w:rPr>
                    <w:t>服务大类</w:t>
                  </w:r>
                </w:p>
              </w:tc>
              <w:tc>
                <w:tcPr>
                  <w:tcW w:type="dxa" w:w="130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b/>
                    </w:rPr>
                    <w:t>服务内容</w:t>
                  </w:r>
                </w:p>
              </w:tc>
              <w:tc>
                <w:tcPr>
                  <w:tcW w:type="dxa" w:w="28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22"/>
                    <w:jc w:val="center"/>
                  </w:pPr>
                  <w:r>
                    <w:rPr>
                      <w:sz w:val="24"/>
                      <w:b/>
                    </w:rPr>
                    <w:t>服务内容</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1</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安全咨询规划类服务</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安全咨询服务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为广东体彩提供安全咨询服务，建立有效的网络与信息安全管理相关制度，确保组织在制度层面健全管理，以防范和应对网络与信息安全风险。提供网络与信息安全政策、流程及培训，协助建立网络与信息风险评估机制，确保制度贴合业务需求，完善广东省体育彩票</w:t>
                  </w:r>
                  <w:r>
                    <w:rPr>
                      <w:sz w:val="24"/>
                      <w:color w:val="FFFFFF"/>
                    </w:rPr>
                    <w:t>一</w:t>
                  </w:r>
                  <w:r>
                    <w:rPr>
                      <w:sz w:val="24"/>
                    </w:rPr>
                    <w:t>网络与信息安全体系的建设。制定符合广东体彩内外部标准的安全策略，确保组织在各方面达到并维持高水平的网络与信息安全合规性。</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安全建设规划服务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为广东体彩提供安全建设规划服务，根据首年网络与信息安全规划实施情况，明确阶段目标，制定次年网络与信息安全实施计划和资源策略，确保广东体彩相关系统和网络合规性，及安全、可持续发展，保障网络与信息安全建设全面、有序推进。</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整体安全架构设计服务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left"/>
                  </w:pPr>
                  <w:r>
                    <w:rPr>
                      <w:sz w:val="24"/>
                    </w:rPr>
                    <w:t>为广东体彩提供整体安全架构设计服务，深度剖析广东体彩网络架构现状，根据内外部安全合规、安全运营、风险敞口收敛、业务场景等要求提出优化方案，确保广东体彩网络与信息安全防御体系与业务协同。结合挂图作战理念，图形化呈现网络结构，明确设备布局与连接关系，助力及时发现和解决网络问题。通过优化设备配置、调整网络拓扑，构建多层次的安全体系，包括防火墙、入侵检测、加密通信等，提高网络安全运营效率，确保不留盲区。</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2</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风险检测与评估类服务</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资产探测梳理服务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为广东体彩提供资产探测梳理服务，通过存活资产探测、资产端口探测等手段，完成广东体彩信息系统以及数据资产梳理、分类、分析，识别组织资产，梳理系统结构，实现安全感知准确有效。</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资产风险评估服务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为广东体彩提供资产风险评估服务，通过开放端口风险分析等手段，深度评估广东体彩风险敞口，识别潜在威胁，提供精准风险缓解策略。</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漏洞扫描服务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为广东体彩提供漏洞扫描服务，通过对系统进行漏洞扫描，及时发现广东体彩各类信息系统存在的漏洞，并提供有效的修复建议。跟进修复情况并对已整改的风险进行复测，确保系统安全性稳步提升。</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渗透测试服务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为广东体彩提供渗透测试服务，对广东体彩各类信息系统进行渗透测试模拟攻击，检测应用系统弱点，并提供有效的修复建议。跟进修复情况并对已整改的风险进行复测，确保系统安全性稳步提升。</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基线检查服务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对广东体彩各类信息系统主机服务器进行安全基线检查，检查设备安全配置是否符合安全要求，排除因配置不当导致的安全风险。</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3</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安全运营监控及事件响应处理</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网络边界安全防护服务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为广东体彩提供网络边界安全防护，通过边界防火墙、应用防火墙WAF、全流量分析等设备对威胁行为进行阻断和分析。</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内网纵深防护服务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为广东体彩提供内网纵深防护，通过全流量分析等安全设备监测网络流量，及时识别和响应潜在威胁，确保安全防护有效性。</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权限安全管理分配及审计服务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为广东体彩提供权限安全管理分配及审计服务，通过上网行为管理、日志审计等设备管理访问权限，并对操作进行记录。</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安全实施巡检服务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为广东体彩提供安全实施巡检服务，对安全服务范围内所部署的安全设备和工具定期进行巡检，监控系统状态，分析异常行为，确保系统安全稳定运行。</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常态化安全监控服务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为广东体彩提供常态化安全监控服务，通过对网络出入口和内网设备间的流量进行</w:t>
                  </w:r>
                </w:p>
                <w:p>
                  <w:pPr>
                    <w:pStyle w:val="null3"/>
                    <w:spacing w:after="120"/>
                    <w:jc w:val="both"/>
                  </w:pPr>
                  <w:r>
                    <w:rPr/>
                    <w:t xml:space="preserve"> </w:t>
                  </w:r>
                </w:p>
                <w:p>
                  <w:pPr>
                    <w:pStyle w:val="null3"/>
                    <w:spacing w:after="120"/>
                    <w:jc w:val="both"/>
                  </w:pPr>
                  <w:r>
                    <w:rPr>
                      <w:sz w:val="24"/>
                    </w:rPr>
                    <w:t>实时监测，识别异常活动和潜在威胁，确保快速发现并应对网络安全问题，维护整体网络的安全性。</w:t>
                  </w:r>
                </w:p>
                <w:p>
                  <w:pPr>
                    <w:pStyle w:val="null3"/>
                    <w:spacing w:after="120"/>
                    <w:jc w:val="both"/>
                  </w:pPr>
                  <w:r>
                    <w:rPr>
                      <w:sz w:val="24"/>
                    </w:rPr>
                    <w:t>按照预定的时间周期，输出安全监控报告，以便全面了解网络整体安全状态，及时采取必要的措施。</w:t>
                  </w:r>
                </w:p>
                <w:p>
                  <w:pPr>
                    <w:pStyle w:val="null3"/>
                    <w:spacing w:after="120"/>
                    <w:jc w:val="both"/>
                  </w:pPr>
                  <w:r>
                    <w:rPr>
                      <w:sz w:val="24"/>
                    </w:rPr>
                    <w:t>建立专有联防联控平台对接总局体彩中心，按照“一个中心三重防护”原则实现联通总局体彩中心威胁实时同步、实时预警、实时防护。</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安全事件响应与处置</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both"/>
                  </w:pPr>
                  <w:r>
                    <w:rPr>
                      <w:sz w:val="24"/>
                    </w:rPr>
                    <w:t>为广东体彩提供安全事件响应与处置服务，快速响应安全事件，实施有效处置措施，最小化潜在损害，保障系统安全。</w:t>
                  </w:r>
                </w:p>
                <w:p>
                  <w:pPr>
                    <w:pStyle w:val="null3"/>
                    <w:spacing w:after="120"/>
                    <w:jc w:val="both"/>
                  </w:pPr>
                  <w:r>
                    <w:rPr>
                      <w:sz w:val="24"/>
                    </w:rPr>
                    <w:t>对入侵尝试、异常活动等网络安全事件进行调查，并进行详细的分析，确定事件的性质、影响程度和紧急程度，分级定性以便有序、及时地采取适当的应对和解决措施，最大程度降低潜在风险。</w:t>
                  </w:r>
                </w:p>
                <w:p>
                  <w:pPr>
                    <w:pStyle w:val="null3"/>
                    <w:spacing w:after="120"/>
                    <w:jc w:val="both"/>
                  </w:pPr>
                  <w:r>
                    <w:rPr>
                      <w:sz w:val="24"/>
                    </w:rPr>
                    <w:t>根据安全事件的定性和定级，采取相应的处置措施，包括隔离受影响系统、恢复受损数据、修复漏洞、进行溯源分析等，以有效应对并解决安全事件，减少损失。</w:t>
                  </w:r>
                </w:p>
                <w:p>
                  <w:pPr>
                    <w:pStyle w:val="null3"/>
                    <w:spacing w:after="120"/>
                    <w:jc w:val="both"/>
                  </w:pPr>
                  <w:r>
                    <w:rPr>
                      <w:sz w:val="24"/>
                    </w:rPr>
                    <w:t>在安全事件发生后，整理并撰写应急响应报告，包括事件背景、分析过程、采取的应对措施、恢复情况以及后续改进建议，以提供全面的事件记录和经验教训。</w:t>
                  </w:r>
                </w:p>
              </w:tc>
            </w:tr>
            <w:tr>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安全培训服务</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安全培训服务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为广东体彩提供安全培训服务，定期为组织成员提供有关信息安全的培训，强化员工安全意识与技能，包括识别威胁、密码管理、社会工程学等方面，以提高员工的安全意识和应对安全风险的能力，构建安全文化，确保组织整体安全。</w:t>
                  </w:r>
                </w:p>
              </w:tc>
            </w:tr>
            <w:tr>
              <w:tc>
                <w:tcPr>
                  <w:tcW w:type="dxa" w:w="5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5</w:t>
                  </w:r>
                </w:p>
              </w:tc>
              <w:tc>
                <w:tcPr>
                  <w:tcW w:type="dxa" w:w="8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安全专项提升服务</w:t>
                  </w: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重保支撑</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为广东体彩提供重保支撑服务，提供增强防护支持，包括制定安全策略和应急响应计划，确保系统在关键情况下获得高级别的安全保障。</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终端安全</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为广东体彩提供终端安全服务，加强终端设备的防护措施，包括优化安全配置、安装和管理基础防病毒软件，以及定期更新和扫描，确保所有终端设备处于最佳安全状态，保障整个终端环境的安全与可靠性。</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应用系统安全</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为广东体彩提供应用系统安全，强化应用系统防护，包括代码审查、访问控制等，确保应用程序免受安全威胁。</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弱口令排查</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为广东体彩提供弱口令排查服务，定期检测系统中存在的弱口令，提供加固建议，防范潜在的账户安全风险。</w:t>
                  </w:r>
                </w:p>
              </w:tc>
            </w:tr>
            <w:tr>
              <w:tc>
                <w:tcPr>
                  <w:tcW w:type="dxa" w:w="566"/>
                  <w:vMerge/>
                  <w:tcBorders>
                    <w:top w:val="none" w:color="000000" w:sz="4"/>
                    <w:left w:val="single" w:color="000000" w:sz="4"/>
                    <w:bottom w:val="single" w:color="000000" w:sz="4"/>
                    <w:right w:val="single" w:color="000000" w:sz="4"/>
                  </w:tcBorders>
                </w:tcPr>
                <w:p/>
              </w:tc>
              <w:tc>
                <w:tcPr>
                  <w:tcW w:type="dxa" w:w="848"/>
                  <w:vMerge/>
                  <w:tcBorders>
                    <w:top w:val="none" w:color="000000" w:sz="4"/>
                    <w:left w:val="none" w:color="000000" w:sz="4"/>
                    <w:bottom w:val="single" w:color="000000" w:sz="4"/>
                    <w:right w:val="single" w:color="000000" w:sz="4"/>
                  </w:tcBorders>
                </w:tcPr>
                <w:p/>
              </w:tc>
              <w:tc>
                <w:tcPr>
                  <w:tcW w:type="dxa" w:w="13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jc w:val="center"/>
                  </w:pPr>
                  <w:r>
                    <w:rPr>
                      <w:sz w:val="24"/>
                    </w:rPr>
                    <w:t>安全驻场服务</w:t>
                  </w:r>
                </w:p>
              </w:tc>
              <w:tc>
                <w:tcPr>
                  <w:tcW w:type="dxa" w:w="28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4"/>
                    </w:rPr>
                    <w:t>为广东体彩提供安全驻场服务，提供1名现场安全驻场工程师，负责现场监控、事件响应、安全评估、安全设备维护等内容。</w:t>
                  </w:r>
                </w:p>
              </w:tc>
            </w:tr>
          </w:tbl>
          <w:p/>
        </w:tc>
      </w:tr>
      <w:tr>
        <w:tc>
          <w:tcPr>
            <w:tcW w:type="dxa" w:w="2076"/>
          </w:tcPr>
          <w:p/>
        </w:tc>
        <w:tc>
          <w:tcPr>
            <w:tcW w:type="dxa" w:w="415"/>
          </w:tcPr>
          <w:p>
            <w:pPr>
              <w:pStyle w:val="null3"/>
            </w:pPr>
            <w:r>
              <w:rPr/>
              <w:t>2</w:t>
            </w:r>
          </w:p>
        </w:tc>
        <w:tc>
          <w:tcPr>
            <w:tcW w:type="dxa" w:w="5814"/>
          </w:tcPr>
          <w:p>
            <w:pPr>
              <w:pStyle w:val="null3"/>
              <w:jc w:val="both"/>
            </w:pPr>
            <w:r>
              <w:rPr>
                <w:sz w:val="24"/>
                <w:b/>
              </w:rPr>
              <w:t>二、服务要求</w:t>
            </w:r>
          </w:p>
          <w:p>
            <w:pPr>
              <w:pStyle w:val="null3"/>
              <w:ind w:firstLine="420"/>
              <w:jc w:val="both"/>
            </w:pPr>
            <w:r>
              <w:rPr>
                <w:sz w:val="24"/>
              </w:rPr>
              <w:t>在本项目服务期限内，成交供应商须按合同约定，提供各项服务，并为采购人提供7×24技术服务热线。技术服务包括但不限于：安全咨询规划、风险检测与评估、安全运营监控及事件响应处理、安全培训、安全专项提升等。</w:t>
            </w:r>
          </w:p>
        </w:tc>
      </w:tr>
      <w:tr>
        <w:tc>
          <w:tcPr>
            <w:tcW w:type="dxa" w:w="2076"/>
          </w:tcPr>
          <w:p/>
        </w:tc>
        <w:tc>
          <w:tcPr>
            <w:tcW w:type="dxa" w:w="415"/>
          </w:tcPr>
          <w:p>
            <w:pPr>
              <w:pStyle w:val="null3"/>
            </w:pPr>
            <w:r>
              <w:rPr/>
              <w:t>3</w:t>
            </w:r>
          </w:p>
        </w:tc>
        <w:tc>
          <w:tcPr>
            <w:tcW w:type="dxa" w:w="5814"/>
          </w:tcPr>
          <w:p>
            <w:pPr>
              <w:pStyle w:val="null3"/>
              <w:jc w:val="both"/>
            </w:pPr>
            <w:r>
              <w:rPr>
                <w:sz w:val="24"/>
                <w:b/>
              </w:rPr>
              <w:t>三、项目交付清单</w:t>
            </w:r>
          </w:p>
          <w:tbl>
            <w:tblGrid>
              <w:gridCol w:w="375"/>
              <w:gridCol w:w="533"/>
              <w:gridCol w:w="1864"/>
              <w:gridCol w:w="1726"/>
              <w:gridCol w:w="592"/>
              <w:gridCol w:w="454"/>
            </w:tblGrid>
            <w:tr>
              <w:tc>
                <w:tcPr>
                  <w:tcW w:type="dxa" w:w="37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5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服务大类</w:t>
                  </w:r>
                </w:p>
              </w:tc>
              <w:tc>
                <w:tcPr>
                  <w:tcW w:type="dxa" w:w="186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服务内容</w:t>
                  </w:r>
                </w:p>
              </w:tc>
              <w:tc>
                <w:tcPr>
                  <w:tcW w:type="dxa" w:w="17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交付内容</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交付数量</w:t>
                  </w:r>
                </w:p>
              </w:tc>
              <w:tc>
                <w:tcPr>
                  <w:tcW w:type="dxa" w:w="4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单位</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安全咨询规划类服务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安全战略规划服务</w:t>
                  </w:r>
                </w:p>
              </w:tc>
              <w:tc>
                <w:tcPr>
                  <w:tcW w:type="dxa" w:w="1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按需提供相关交付材料</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安全管理咨询服务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安全技术咨询服务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业务安全咨询服务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安全管理制度规划</w:t>
                  </w:r>
                </w:p>
              </w:tc>
              <w:tc>
                <w:tcPr>
                  <w:tcW w:type="dxa" w:w="1726"/>
                  <w:vMerge/>
                  <w:tcBorders>
                    <w:top w:val="none" w:color="000000" w:sz="4"/>
                    <w:left w:val="none" w:color="000000" w:sz="4"/>
                    <w:bottom w:val="single" w:color="000000" w:sz="4"/>
                    <w:right w:val="single" w:color="000000" w:sz="4"/>
                  </w:tcBorders>
                </w:tcP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安全技术体系规划</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安全运营体系规划</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整体安全架构设计服务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《网络拓扑调优图》</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风险检测与评估类服务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资产探测梳理服务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《资产探测报告》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资产风险评估服务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《资产风险评估报告》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漏洞扫描服务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《漏洞扫描报告》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渗透测试服务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《渗透测试报告》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基线检查服务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《基线测试报告》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安全运营监控及事件响应处理</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网络边界安全防护服务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网络边界安全防护服务（含所需配套设备）</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内网纵深防护服务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内网纵深防护服务（含所需配套设备）</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权限安全管理分配及审计服务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权限安全管理分配及审计服务（含所需配套设备）</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安全实施巡检服务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不少于4次安全巡检服务</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常态化安全监控服务</w:t>
                  </w:r>
                </w:p>
              </w:tc>
              <w:tc>
                <w:tcPr>
                  <w:tcW w:type="dxa" w:w="1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《体彩中心安全服务项目阶段性汇报》</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协同总局联防联控</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安全事件响应与处置</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《广东体彩应急响应报告》</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安全培训服务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安全意识培训</w:t>
                  </w:r>
                </w:p>
              </w:tc>
              <w:tc>
                <w:tcPr>
                  <w:tcW w:type="dxa" w:w="1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《信息安全培训PPT》</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重保实战培训</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5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安全专项提升服务</w:t>
                  </w: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重保前风险排查服务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《重保总结报告》</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180</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天</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重保防守策略制定</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《重保防护阶段报告》</w:t>
                  </w: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重保防守报告</w:t>
                  </w:r>
                </w:p>
              </w:tc>
              <w:tc>
                <w:tcPr>
                  <w:tcW w:type="dxa" w:w="1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以及重保过程需要提交的其他报告材料</w:t>
                  </w: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重保应急响应处置</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重保总结汇报</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重保期间值守</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互联网暴露面排查</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制定终端安全工作策略及方案</w:t>
                  </w:r>
                </w:p>
              </w:tc>
              <w:tc>
                <w:tcPr>
                  <w:tcW w:type="dxa" w:w="1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包含所需配套设备</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提供终端准入管控服务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提供终端基础防病毒服务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提供终端桌面管理服务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提供终端数据防泄漏服务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提供终端文档加密服务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提供终端安全监管服务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提供终端安全应急响应服务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提供应用系统安全服务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《代码审计报告》，7个系统以内</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提供应用系统上线需求评审服务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《业务上线安全测试报告》，7个系统以内</w:t>
                  </w: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提供第三方组件检测服务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提供供应链安全排查服务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提供系统上线安全测试、白盒漏洞扫描、安全代码审计服务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提供弱口令排查服务</w:t>
                  </w:r>
                </w:p>
              </w:tc>
              <w:tc>
                <w:tcPr>
                  <w:tcW w:type="dxa" w:w="17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59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提供流量侧弱口令排查服务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提供应用系统弱口令排查服务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提供终端弱口令扫描服务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提供主机弱口令扫描服务</w:t>
                  </w:r>
                </w:p>
              </w:tc>
              <w:tc>
                <w:tcPr>
                  <w:tcW w:type="dxa" w:w="1726"/>
                  <w:vMerge/>
                  <w:tcBorders>
                    <w:top w:val="none" w:color="000000" w:sz="4"/>
                    <w:left w:val="none" w:color="000000" w:sz="4"/>
                    <w:bottom w:val="single" w:color="000000" w:sz="4"/>
                    <w:right w:val="single" w:color="000000" w:sz="4"/>
                  </w:tcBorders>
                </w:tcPr>
                <w:p/>
              </w:tc>
              <w:tc>
                <w:tcPr>
                  <w:tcW w:type="dxa" w:w="592"/>
                  <w:vMerge/>
                  <w:tcBorders>
                    <w:top w:val="none" w:color="000000" w:sz="4"/>
                    <w:left w:val="none" w:color="000000" w:sz="4"/>
                    <w:bottom w:val="single" w:color="000000" w:sz="4"/>
                    <w:right w:val="single" w:color="000000" w:sz="4"/>
                  </w:tcBorders>
                </w:tcPr>
                <w:p/>
              </w:tc>
              <w:tc>
                <w:tcPr>
                  <w:tcW w:type="dxa" w:w="454"/>
                  <w:vMerge/>
                  <w:tcBorders>
                    <w:top w:val="none" w:color="000000" w:sz="4"/>
                    <w:left w:val="none" w:color="000000" w:sz="4"/>
                    <w:bottom w:val="single" w:color="000000" w:sz="4"/>
                    <w:right w:val="single" w:color="000000" w:sz="4"/>
                  </w:tcBorders>
                </w:tcPr>
                <w:p/>
              </w:tc>
            </w:tr>
            <w:tr>
              <w:tc>
                <w:tcPr>
                  <w:tcW w:type="dxa" w:w="375"/>
                  <w:vMerge/>
                  <w:tcBorders>
                    <w:top w:val="none" w:color="000000" w:sz="4"/>
                    <w:left w:val="single" w:color="000000" w:sz="4"/>
                    <w:bottom w:val="single" w:color="000000" w:sz="4"/>
                    <w:right w:val="single" w:color="000000" w:sz="4"/>
                  </w:tcBorders>
                </w:tcPr>
                <w:p/>
              </w:tc>
              <w:tc>
                <w:tcPr>
                  <w:tcW w:type="dxa" w:w="533"/>
                  <w:vMerge/>
                  <w:tcBorders>
                    <w:top w:val="none" w:color="000000" w:sz="4"/>
                    <w:left w:val="none" w:color="000000" w:sz="4"/>
                    <w:bottom w:val="single" w:color="000000" w:sz="4"/>
                    <w:right w:val="single" w:color="000000" w:sz="4"/>
                  </w:tcBorders>
                </w:tcPr>
                <w:p/>
              </w:tc>
              <w:tc>
                <w:tcPr>
                  <w:tcW w:type="dxa" w:w="18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提供安全驻场服务</w:t>
                  </w:r>
                </w:p>
              </w:tc>
              <w:tc>
                <w:tcPr>
                  <w:tcW w:type="dxa" w:w="17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提供高级安全驻场人员</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4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无：本项目不适用。</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采购机构代理服务收费标准：收费标准按原《招标代理服务收费管理暂行办法》中规定的“服务类”的计算方法执行，本项目的采购代理服务费执行以下价格： （1）以项目预算金额作为收费的计算基数； （2）预算金额在100万以下的，采购代理服务费按1.5%计算；101-500万元的，按0.8%计算； （3）采购代理服务费收费按差额定率累进法计算。</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，到账情况以协商时</w:t>
      </w:r>
      <w:r>
        <w:rPr/>
        <w:t>广州程启招标代理有限公司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采购包1（广东省体育彩票中心体育彩票生产销售系统网络与信息安全服务）：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采购包1（广东省体育彩票中心体育彩票生产销售系统网络与信息安全服务）：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54"/>
          <w:b/>
        </w:rPr>
        <w:t>广东省体育彩票中心体育彩票生产销售系统网络与</w:t>
      </w:r>
    </w:p>
    <w:p>
      <w:pPr>
        <w:pStyle w:val="null3"/>
        <w:jc w:val="center"/>
      </w:pPr>
      <w:r>
        <w:rPr/>
        <w:t xml:space="preserve"> </w:t>
      </w:r>
    </w:p>
    <w:p>
      <w:pPr>
        <w:pStyle w:val="null3"/>
        <w:jc w:val="center"/>
      </w:pPr>
      <w:r>
        <w:rPr/>
        <w:t xml:space="preserve"> </w:t>
      </w:r>
    </w:p>
    <w:p>
      <w:pPr>
        <w:pStyle w:val="null3"/>
        <w:jc w:val="center"/>
      </w:pPr>
      <w:r>
        <w:rPr>
          <w:sz w:val="54"/>
          <w:b/>
        </w:rPr>
        <w:t>信息</w:t>
      </w:r>
      <w:r>
        <w:rPr>
          <w:sz w:val="54"/>
          <w:b/>
        </w:rPr>
        <w:t>安全服务政府采购合同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sz w:val="24"/>
        </w:rPr>
        <w:t xml:space="preserve">                                              </w:t>
      </w:r>
    </w:p>
    <w:p>
      <w:pPr>
        <w:pStyle w:val="null3"/>
        <w:jc w:val="both"/>
      </w:pPr>
      <w:r>
        <w:rPr>
          <w:sz w:val="27"/>
        </w:rPr>
        <w:t>需方（甲方）: 广东省体育彩票中心</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供方（乙方）:</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合同签订地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color w:val="000000"/>
        </w:rPr>
        <w:t>甲、乙双方根据2025年</w:t>
      </w:r>
      <w:r>
        <w:rPr>
          <w:sz w:val="24"/>
          <w:color w:val="000000"/>
          <w:u w:val="single"/>
        </w:rPr>
        <w:t xml:space="preserve">    </w:t>
      </w:r>
      <w:r>
        <w:rPr>
          <w:sz w:val="24"/>
          <w:color w:val="000000"/>
        </w:rPr>
        <w:t>月</w:t>
      </w:r>
      <w:r>
        <w:rPr>
          <w:sz w:val="24"/>
          <w:color w:val="000000"/>
          <w:u w:val="single"/>
        </w:rPr>
        <w:t xml:space="preserve">    </w:t>
      </w:r>
      <w:r>
        <w:rPr>
          <w:sz w:val="24"/>
          <w:color w:val="000000"/>
        </w:rPr>
        <w:t>日，项目编号：</w:t>
      </w:r>
      <w:r>
        <w:rPr>
          <w:sz w:val="24"/>
          <w:color w:val="000000"/>
          <w:u w:val="single"/>
        </w:rPr>
        <w:t>GZCQC2500FD03001</w:t>
      </w:r>
      <w:r>
        <w:rPr>
          <w:sz w:val="24"/>
          <w:color w:val="000000"/>
        </w:rPr>
        <w:t>，</w:t>
      </w:r>
      <w:r>
        <w:rPr>
          <w:sz w:val="24"/>
          <w:color w:val="000000"/>
          <w:u w:val="single"/>
        </w:rPr>
        <w:t>广东省体育彩票中心体育彩票生产销售系统网络与信息安全服务项目</w:t>
      </w:r>
      <w:r>
        <w:rPr>
          <w:sz w:val="24"/>
          <w:color w:val="000000"/>
        </w:rPr>
        <w:t>单一来源采购文件的要求和成交结果，经协商一致，达成以下项目合同：</w:t>
      </w:r>
    </w:p>
    <w:p>
      <w:pPr>
        <w:pStyle w:val="null3"/>
        <w:ind w:firstLine="480"/>
      </w:pPr>
      <w:r>
        <w:rPr>
          <w:sz w:val="24"/>
          <w:color w:val="000000"/>
        </w:rPr>
        <w:t>第一条  安全服务要求</w:t>
      </w:r>
    </w:p>
    <w:tbl>
      <w:tblPr>
        <w:tblW w:w="0" w:type="auto"/>
        <w:tblBorders>
          <w:top w:val="single"/>
          <w:left w:val="single"/>
          <w:bottom w:val="single"/>
          <w:right w:val="single"/>
          <w:insideH w:val="single"/>
          <w:insideV w:val="single"/>
        </w:tblBorders>
      </w:tblPr>
      <w:tblGrid>
        <w:gridCol w:w="839"/>
        <w:gridCol w:w="1259"/>
        <w:gridCol w:w="1930"/>
        <w:gridCol w:w="4195"/>
      </w:tblGrid>
      <w:tr>
        <w:tc>
          <w:tcPr>
            <w:tcW w:type="dxa" w:w="839"/>
            <w:tcBorders>
              <w:top w:val="single" w:color="000000" w:sz="4"/>
              <w:left w:val="single" w:color="000000" w:sz="4"/>
              <w:bottom w:val="single" w:color="000000" w:sz="4"/>
              <w:right w:val="single" w:color="000000" w:sz="4"/>
            </w:tcBorders>
            <w:tcMar>
              <w:top w:type="dxa" w:w="0"/>
              <w:left w:type="dxa" w:w="75"/>
              <w:bottom w:type="dxa" w:w="0"/>
              <w:right w:type="dxa" w:w="75"/>
            </w:tcMar>
          </w:tcPr>
          <w:p>
            <w:pPr>
              <w:pStyle w:val="null3"/>
              <w:jc w:val="center"/>
            </w:pPr>
            <w:r>
              <w:rPr>
                <w:sz w:val="24"/>
                <w:b/>
              </w:rPr>
              <w:t>序号</w:t>
            </w:r>
          </w:p>
        </w:tc>
        <w:tc>
          <w:tcPr>
            <w:tcW w:type="dxa" w:w="1259"/>
            <w:tcBorders>
              <w:top w:val="singl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b/>
              </w:rPr>
              <w:t>服务大类</w:t>
            </w:r>
          </w:p>
        </w:tc>
        <w:tc>
          <w:tcPr>
            <w:tcW w:type="dxa" w:w="1930"/>
            <w:tcBorders>
              <w:top w:val="singl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b/>
              </w:rPr>
              <w:t>服务内容</w:t>
            </w:r>
          </w:p>
        </w:tc>
        <w:tc>
          <w:tcPr>
            <w:tcW w:type="dxa" w:w="4195"/>
            <w:tcBorders>
              <w:top w:val="single" w:color="000000" w:sz="4"/>
              <w:left w:val="none" w:color="000000" w:sz="4"/>
              <w:bottom w:val="single" w:color="000000" w:sz="4"/>
              <w:right w:val="single" w:color="000000" w:sz="4"/>
            </w:tcBorders>
            <w:tcMar>
              <w:top w:type="dxa" w:w="0"/>
              <w:left w:type="dxa" w:w="75"/>
              <w:bottom w:type="dxa" w:w="0"/>
              <w:right w:type="dxa" w:w="75"/>
            </w:tcMar>
          </w:tcPr>
          <w:p>
            <w:pPr>
              <w:pStyle w:val="null3"/>
              <w:ind w:firstLine="422"/>
              <w:jc w:val="center"/>
            </w:pPr>
            <w:r>
              <w:rPr>
                <w:sz w:val="24"/>
                <w:b/>
              </w:rPr>
              <w:t>服务内容</w:t>
            </w:r>
          </w:p>
        </w:tc>
      </w:tr>
      <w:tr>
        <w:tc>
          <w:tcPr>
            <w:tcW w:type="dxa" w:w="839"/>
            <w:vMerge w:val="restart"/>
            <w:tcBorders>
              <w:top w:val="none" w:color="000000" w:sz="4"/>
              <w:left w:val="single" w:color="000000" w:sz="4"/>
              <w:bottom w:val="single" w:color="000000" w:sz="4"/>
              <w:right w:val="single" w:color="000000" w:sz="4"/>
            </w:tcBorders>
            <w:tcMar>
              <w:top w:type="dxa" w:w="0"/>
              <w:left w:type="dxa" w:w="75"/>
              <w:bottom w:type="dxa" w:w="0"/>
              <w:right w:type="dxa" w:w="75"/>
            </w:tcMar>
          </w:tcPr>
          <w:p>
            <w:pPr>
              <w:pStyle w:val="null3"/>
              <w:jc w:val="center"/>
            </w:pPr>
            <w:r>
              <w:rPr>
                <w:sz w:val="24"/>
              </w:rPr>
              <w:t>1</w:t>
            </w:r>
          </w:p>
        </w:tc>
        <w:tc>
          <w:tcPr>
            <w:tcW w:type="dxa" w:w="1259"/>
            <w:vMerge w:val="restart"/>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安全咨询规划类服务</w:t>
            </w: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安全咨询服务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left"/>
            </w:pPr>
            <w:r>
              <w:rPr>
                <w:sz w:val="24"/>
              </w:rPr>
              <w:t>为广东体彩提供安全咨询服务，建立有效的网络与信息安全管理相关制度，确保组织在制度层面健全管理，以防范和应对网络与信息安全风险。提供网络与信息安全政策、流程及培训，协助建立网络与信息风险评估机制，确保制度贴合业务需求，完善广东省体育彩票</w:t>
            </w:r>
            <w:r>
              <w:rPr>
                <w:sz w:val="24"/>
                <w:color w:val="FFFFFF"/>
              </w:rPr>
              <w:t>一</w:t>
            </w:r>
            <w:r>
              <w:rPr>
                <w:sz w:val="24"/>
              </w:rPr>
              <w:t>网络与信息安全体系的建设。制定符合广东体彩内外部标准的安全策略，确保组织在各方面达到并维持高水平的网络与信息安全合规性。</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安全建设规划服务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left"/>
            </w:pPr>
            <w:r>
              <w:rPr>
                <w:sz w:val="24"/>
              </w:rPr>
              <w:t>为广东体彩提供安全建设规划服务，根据首年网络与信息安全规划实施情况，明确阶段目标，制定次年网络与信息安全实施计划和资源策略，确保广东体彩相关系统和网络合规性，及安全、可持续发展，保障网络与信息安全建设全面、有序推进。</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整体安全架构设计服务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left"/>
            </w:pPr>
            <w:r>
              <w:rPr>
                <w:sz w:val="24"/>
              </w:rPr>
              <w:t>为广东体彩提供整体安全架构设计服务，深度剖析广东体彩网络架构现状，根据内外部安全合规、安全运营、风险敞口收敛、业务场景等要求提出优化方案，确保广东体彩网络与信息安全防御体系与业务协同。结合挂图作战理念，图形化呈现网络结构，明确设备布局与连接关系，助力及时发现和解决网络问题。通过优化设备配置、调整网络拓扑，构建多层次的安全体系，包括防火墙、入侵检测、加密通信等，提高网络安全运营效率，确保不留盲区。</w:t>
            </w:r>
          </w:p>
        </w:tc>
      </w:tr>
      <w:tr>
        <w:tc>
          <w:tcPr>
            <w:tcW w:type="dxa" w:w="839"/>
            <w:vMerge w:val="restart"/>
            <w:tcBorders>
              <w:top w:val="none" w:color="000000" w:sz="4"/>
              <w:left w:val="single" w:color="000000" w:sz="4"/>
              <w:bottom w:val="single" w:color="000000" w:sz="4"/>
              <w:right w:val="single" w:color="000000" w:sz="4"/>
            </w:tcBorders>
            <w:tcMar>
              <w:top w:type="dxa" w:w="0"/>
              <w:left w:type="dxa" w:w="75"/>
              <w:bottom w:type="dxa" w:w="0"/>
              <w:right w:type="dxa" w:w="75"/>
            </w:tcMar>
          </w:tcPr>
          <w:p>
            <w:pPr>
              <w:pStyle w:val="null3"/>
              <w:jc w:val="center"/>
            </w:pPr>
            <w:r>
              <w:rPr>
                <w:sz w:val="24"/>
              </w:rPr>
              <w:t>2</w:t>
            </w:r>
          </w:p>
        </w:tc>
        <w:tc>
          <w:tcPr>
            <w:tcW w:type="dxa" w:w="1259"/>
            <w:vMerge w:val="restart"/>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风险检测与评估类服务</w:t>
            </w: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资产探测梳理服务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为广东体彩提供资产探测梳理服务，通过存活资产探测、资产端口探测等手段，完成广东体彩信息系统以及数据资产梳理、分类、分析，识别组织资产，梳理系统结构，实现安全感知准确有效。</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资产风险评估服务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为广东体彩提供资产风险评估服务，通过开放端口风险分析等手段，深度评估广东体彩风险敞口，识别潜在威胁，提供精准风险缓解策略。</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漏洞扫描服务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为广东体彩提供漏洞扫描服务，通过对系统进行漏洞扫描，及时发现广东体彩各类信息系统存在的漏洞，并提供有效的修复建议。跟进修复情况并对已整改的风险进行复测，确保系统安全性稳步提升。</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渗透测试服务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为广东体彩提供渗透测试服务，对广东体彩各类信息系统进行渗透测试模拟攻击，检测应用系统弱点，并提供有效的修复建议。跟进修复情况并对已整改的风险进行复测，确保系统安全性稳步提升。</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基线检查服务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对广东体彩各类信息系统主机服务器进行安全基线检查，检查设备安全配置是否符合安全要求，排除因配置不当导致的安全风险。</w:t>
            </w:r>
          </w:p>
        </w:tc>
      </w:tr>
      <w:tr>
        <w:tc>
          <w:tcPr>
            <w:tcW w:type="dxa" w:w="839"/>
            <w:vMerge w:val="restart"/>
            <w:tcBorders>
              <w:top w:val="none" w:color="000000" w:sz="4"/>
              <w:left w:val="single" w:color="000000" w:sz="4"/>
              <w:bottom w:val="single" w:color="000000" w:sz="4"/>
              <w:right w:val="single" w:color="000000" w:sz="4"/>
            </w:tcBorders>
            <w:tcMar>
              <w:top w:type="dxa" w:w="0"/>
              <w:left w:type="dxa" w:w="75"/>
              <w:bottom w:type="dxa" w:w="0"/>
              <w:right w:type="dxa" w:w="75"/>
            </w:tcMar>
          </w:tcPr>
          <w:p>
            <w:pPr>
              <w:pStyle w:val="null3"/>
              <w:jc w:val="center"/>
            </w:pPr>
            <w:r>
              <w:rPr>
                <w:sz w:val="24"/>
              </w:rPr>
              <w:t>3</w:t>
            </w:r>
          </w:p>
        </w:tc>
        <w:tc>
          <w:tcPr>
            <w:tcW w:type="dxa" w:w="1259"/>
            <w:vMerge w:val="restart"/>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安全运营监控及事件响应处理</w:t>
            </w: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网络边界安全防护服务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为广东体彩提供网络边界安全防护，通过边界防火墙、应用防火墙WAF、全流量分析等设备对威胁行为进行阻断和分析。</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内网纵深防护服务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为广东体彩提供内网纵深防护，通过全流量分析等安全设备监测网络流量，及时识别和响应潜在威胁，确保安全防护有效性。</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权限安全管理分配及审计服务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为广东体彩提供权限安全管理分配及审计服务，通过上网行为管理、日志审计等设备管理访问权限，并对操作进行记录。</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安全实施巡检服务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为广东体彩提供安全实施巡检服务，对安全服务范围内所部署的安全设备和工具定期进行巡检，监控系统状态，分析异常行为，确保系统安全稳定运行。</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常态化安全监控服务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为广东体彩提供常态化安全监控服务，通过对网络出入口和内网设备间的流量进行</w:t>
            </w:r>
            <w:r>
              <w:rPr>
                <w:sz w:val="24"/>
              </w:rPr>
              <w:t>实时监测，识别异常活动和潜在威胁，确保快速发现并应对网络安全问题，维护整体网络的安全性。</w:t>
            </w:r>
          </w:p>
          <w:p>
            <w:pPr>
              <w:pStyle w:val="null3"/>
              <w:jc w:val="both"/>
            </w:pPr>
            <w:r>
              <w:rPr>
                <w:sz w:val="24"/>
              </w:rPr>
              <w:t>按照预定的时间周期，输出安全监控报告，以便全面了解网络整体安全状态，及时采取必要的措施。</w:t>
            </w:r>
          </w:p>
          <w:p>
            <w:pPr>
              <w:pStyle w:val="null3"/>
              <w:jc w:val="both"/>
            </w:pPr>
            <w:r>
              <w:rPr>
                <w:sz w:val="24"/>
              </w:rPr>
              <w:t>建立专有联防联控平台对接总局体彩中心，按照“一个中心三重防护”原则实现联通总局体彩中心威胁实时同步、实时预警、实时防护。</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安全事件响应与处置</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为广东体彩提供安全事件响应与处置服务，快速响应安全事件，实施有效处置措施，最小化潜在损害，保障系统安全。</w:t>
            </w:r>
          </w:p>
          <w:p>
            <w:pPr>
              <w:pStyle w:val="null3"/>
              <w:jc w:val="both"/>
            </w:pPr>
            <w:r>
              <w:rPr>
                <w:sz w:val="24"/>
              </w:rPr>
              <w:t>对入侵尝试、异常活动等网络安全事件进行调查，并进行详细的分析，确定事件的性质、影响程度和紧急程度，分级定性以便有序、及时地采取适当的应对和解决措施，最大程度降低潜在风险。</w:t>
            </w:r>
          </w:p>
          <w:p>
            <w:pPr>
              <w:pStyle w:val="null3"/>
              <w:jc w:val="both"/>
            </w:pPr>
            <w:r>
              <w:rPr>
                <w:sz w:val="24"/>
              </w:rPr>
              <w:t>根据安全事件的定性和定级，采取相应的处置措施，包括隔离受影响系统、恢复受损数据、修复漏洞、进行溯源分析等，以有效应对并解决安全事件，减少损失。</w:t>
            </w:r>
          </w:p>
          <w:p>
            <w:pPr>
              <w:pStyle w:val="null3"/>
              <w:jc w:val="both"/>
            </w:pPr>
            <w:r>
              <w:rPr>
                <w:sz w:val="24"/>
              </w:rPr>
              <w:t>在安全事件发生后，整理并撰写应急响应报告，包括事件背景、分析过程、采取的应对措施、恢复情况以及后续改进建议，以提供全面的事件记录和经验教训。</w:t>
            </w:r>
          </w:p>
        </w:tc>
      </w:tr>
      <w:tr>
        <w:tc>
          <w:tcPr>
            <w:tcW w:type="dxa" w:w="839"/>
            <w:tcBorders>
              <w:top w:val="none" w:color="000000" w:sz="4"/>
              <w:left w:val="single" w:color="000000" w:sz="4"/>
              <w:bottom w:val="single" w:color="000000" w:sz="4"/>
              <w:right w:val="single" w:color="000000" w:sz="4"/>
            </w:tcBorders>
            <w:tcMar>
              <w:top w:type="dxa" w:w="0"/>
              <w:left w:type="dxa" w:w="75"/>
              <w:bottom w:type="dxa" w:w="0"/>
              <w:right w:type="dxa" w:w="75"/>
            </w:tcMar>
          </w:tcPr>
          <w:p>
            <w:pPr>
              <w:pStyle w:val="null3"/>
              <w:jc w:val="center"/>
            </w:pPr>
            <w:r>
              <w:rPr>
                <w:sz w:val="24"/>
              </w:rPr>
              <w:t>4</w:t>
            </w:r>
          </w:p>
        </w:tc>
        <w:tc>
          <w:tcPr>
            <w:tcW w:type="dxa" w:w="1259"/>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安全培训服务</w:t>
            </w: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安全培训服务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安全培训服务，定期为组织成员提供有关信息安全的培训，强化员工安全意识与技能，包括识别威胁、密码管理、社会工程学等方面，以提高员工的安全意识和应对安全风险的能力，构建安全文化，确保组织整体安全。</w:t>
            </w:r>
          </w:p>
        </w:tc>
      </w:tr>
      <w:tr>
        <w:tc>
          <w:tcPr>
            <w:tcW w:type="dxa" w:w="839"/>
            <w:vMerge w:val="restart"/>
            <w:tcBorders>
              <w:top w:val="none" w:color="000000" w:sz="4"/>
              <w:left w:val="single" w:color="000000" w:sz="4"/>
              <w:bottom w:val="single" w:color="000000" w:sz="4"/>
              <w:right w:val="single" w:color="000000" w:sz="4"/>
            </w:tcBorders>
            <w:tcMar>
              <w:top w:type="dxa" w:w="0"/>
              <w:left w:type="dxa" w:w="75"/>
              <w:bottom w:type="dxa" w:w="0"/>
              <w:right w:type="dxa" w:w="75"/>
            </w:tcMar>
          </w:tcPr>
          <w:p>
            <w:pPr>
              <w:pStyle w:val="null3"/>
              <w:jc w:val="center"/>
            </w:pPr>
            <w:r>
              <w:rPr>
                <w:sz w:val="24"/>
              </w:rPr>
              <w:t>5</w:t>
            </w:r>
          </w:p>
        </w:tc>
        <w:tc>
          <w:tcPr>
            <w:tcW w:type="dxa" w:w="1259"/>
            <w:vMerge w:val="restart"/>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安全专项提升服务</w:t>
            </w: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重保支撑</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为广东体彩提供重保支撑服务，提供增强防护支持，包括制定安全策略和应急响应计划，确保系统在关键情况下获得高级别的安全保障。</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终端安全</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为广东体彩提供终端安全服务，加强终端设备的防护措施，包括优化安全配置、安装和管理基础防病毒软件，以及定期更新和扫描，确保所有终端设备处于最佳安全状态，保障整个终端环境的安全与可靠性。</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应用系统安全</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为广东体彩提供应用系统安全，强化应用系统防护，包括代码审查、访问控制等，确保应用程序免受安全威胁。</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弱口令排查</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为广东体彩提供弱口令排查服务，定期检测系统中存在的弱口令，提供加固建议，防范潜在的账户安全风险。</w:t>
            </w:r>
          </w:p>
        </w:tc>
      </w:tr>
      <w:tr>
        <w:tc>
          <w:tcPr>
            <w:tcW w:type="dxa" w:w="839"/>
            <w:vMerge/>
            <w:tcBorders>
              <w:top w:val="none" w:color="000000" w:sz="4"/>
              <w:left w:val="single" w:color="000000" w:sz="4"/>
              <w:bottom w:val="single" w:color="000000" w:sz="4"/>
              <w:right w:val="single" w:color="000000" w:sz="4"/>
            </w:tcBorders>
          </w:tcPr>
          <w:p/>
        </w:tc>
        <w:tc>
          <w:tcPr>
            <w:tcW w:type="dxa" w:w="1259"/>
            <w:vMerge/>
            <w:tcBorders>
              <w:top w:val="none" w:color="000000" w:sz="4"/>
              <w:left w:val="none" w:color="000000" w:sz="4"/>
              <w:bottom w:val="single" w:color="000000" w:sz="4"/>
              <w:right w:val="single" w:color="000000" w:sz="4"/>
            </w:tcBorders>
          </w:tcPr>
          <w:p/>
        </w:tc>
        <w:tc>
          <w:tcPr>
            <w:tcW w:type="dxa" w:w="1930"/>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center"/>
            </w:pPr>
            <w:r>
              <w:rPr>
                <w:sz w:val="24"/>
              </w:rPr>
              <w:t>安全驻场服务</w:t>
            </w:r>
          </w:p>
        </w:tc>
        <w:tc>
          <w:tcPr>
            <w:tcW w:type="dxa" w:w="4195"/>
            <w:tcBorders>
              <w:top w:val="none" w:color="000000" w:sz="4"/>
              <w:left w:val="none" w:color="000000" w:sz="4"/>
              <w:bottom w:val="single" w:color="000000" w:sz="4"/>
              <w:right w:val="single" w:color="000000" w:sz="4"/>
            </w:tcBorders>
            <w:tcMar>
              <w:top w:type="dxa" w:w="0"/>
              <w:left w:type="dxa" w:w="75"/>
              <w:bottom w:type="dxa" w:w="0"/>
              <w:right w:type="dxa" w:w="75"/>
            </w:tcMar>
          </w:tcPr>
          <w:p>
            <w:pPr>
              <w:pStyle w:val="null3"/>
              <w:jc w:val="both"/>
            </w:pPr>
            <w:r>
              <w:rPr>
                <w:sz w:val="24"/>
              </w:rPr>
              <w:t>为广东体彩提供安全驻场服务，提供1名现场安全驻场工程师，负责现场监控、事件响应、安全评估、安全设备维护等内容。</w:t>
            </w:r>
          </w:p>
        </w:tc>
      </w:tr>
    </w:tbl>
    <w:p>
      <w:pPr>
        <w:pStyle w:val="null3"/>
        <w:jc w:val="both"/>
      </w:pPr>
      <w:r>
        <w:rPr>
          <w:sz w:val="24"/>
        </w:rPr>
        <w:t>第二条  安全服务清单</w:t>
      </w:r>
    </w:p>
    <w:tbl>
      <w:tblPr>
        <w:tblW w:w="0" w:type="auto"/>
        <w:tblBorders>
          <w:top w:val="single"/>
          <w:left w:val="single"/>
          <w:bottom w:val="single"/>
          <w:right w:val="single"/>
          <w:insideH w:val="single"/>
          <w:insideV w:val="single"/>
        </w:tblBorders>
      </w:tblPr>
      <w:tblGrid>
        <w:gridCol w:w="556"/>
        <w:gridCol w:w="790"/>
        <w:gridCol w:w="2765"/>
        <w:gridCol w:w="2561"/>
        <w:gridCol w:w="878"/>
        <w:gridCol w:w="673"/>
      </w:tblGrid>
      <w:tr>
        <w:tc>
          <w:tcPr>
            <w:tcW w:type="dxa" w:w="55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序号</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服务大类</w:t>
            </w:r>
          </w:p>
        </w:tc>
        <w:tc>
          <w:tcPr>
            <w:tcW w:type="dxa" w:w="276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服务内容</w:t>
            </w:r>
          </w:p>
        </w:tc>
        <w:tc>
          <w:tcPr>
            <w:tcW w:type="dxa" w:w="2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交付内容</w:t>
            </w:r>
          </w:p>
        </w:tc>
        <w:tc>
          <w:tcPr>
            <w:tcW w:type="dxa" w:w="8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交付数量</w:t>
            </w:r>
          </w:p>
        </w:tc>
        <w:tc>
          <w:tcPr>
            <w:tcW w:type="dxa" w:w="6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color w:val="000000"/>
              </w:rPr>
              <w:t>单位</w:t>
            </w: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7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安全咨询规划类服务</w:t>
            </w: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安全战略规划服务</w:t>
            </w:r>
          </w:p>
        </w:tc>
        <w:tc>
          <w:tcPr>
            <w:tcW w:type="dxa" w:w="2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按需提供相关交付材料</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安全管理咨询服务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安全技术咨询服务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业务安全咨询服务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安全管理制度规划</w:t>
            </w:r>
          </w:p>
        </w:tc>
        <w:tc>
          <w:tcPr>
            <w:tcW w:type="dxa" w:w="2561"/>
            <w:vMerge/>
            <w:tcBorders>
              <w:top w:val="none" w:color="000000" w:sz="4"/>
              <w:left w:val="none" w:color="000000" w:sz="4"/>
              <w:bottom w:val="single" w:color="000000" w:sz="4"/>
              <w:right w:val="single" w:color="000000" w:sz="4"/>
            </w:tcBorders>
          </w:tcP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安全技术体系规划</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安全运营体系规划</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整体安全架构设计服务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《网络拓扑调优图》</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7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风险检测与评估类服务</w:t>
            </w: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资产探测梳理服务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《资产探测报告》</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资产风险评估服务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《资产风险评估报告》</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漏洞扫描服务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《漏洞扫描报告》</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8</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渗透测试服务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《渗透测试报告》</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基线检查服务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《基线测试报告》</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3</w:t>
            </w:r>
          </w:p>
        </w:tc>
        <w:tc>
          <w:tcPr>
            <w:tcW w:type="dxa" w:w="7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安全运营监控及事件响应处理</w:t>
            </w: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网络边界安全防护服务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网络边界安全防护服务（含所需配套设备）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内网纵深防护服务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内网纵深防护服务（含所需配套设备）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权限安全管理分配及审计服务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权限安全管理分配及审计服务（含所需配套设备）</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安全实施巡检服务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不少于4次安全巡检服务</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常态化安全监控服务</w:t>
            </w:r>
          </w:p>
        </w:tc>
        <w:tc>
          <w:tcPr>
            <w:tcW w:type="dxa" w:w="2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《体彩中心安全服务项目阶段性汇报》</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协同总局联防联控</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安全事件响应与处置</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《广东体彩应急响应报告》</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7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安全培训服务</w:t>
            </w: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安全意识培训</w:t>
            </w:r>
          </w:p>
        </w:tc>
        <w:tc>
          <w:tcPr>
            <w:tcW w:type="dxa" w:w="2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《信息安全培训PPT》</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4</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次</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重保实战培训</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5</w:t>
            </w:r>
          </w:p>
        </w:tc>
        <w:tc>
          <w:tcPr>
            <w:tcW w:type="dxa" w:w="7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安全专项提升服务</w:t>
            </w: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重保前风险排查服务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《重保总结报告》</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180</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天</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重保防守策略制定</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《重保防护阶段报告》</w:t>
            </w: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重保防守报告</w:t>
            </w:r>
          </w:p>
        </w:tc>
        <w:tc>
          <w:tcPr>
            <w:tcW w:type="dxa" w:w="2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以及重保过程需要提交的其他报告材料</w:t>
            </w: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重保应急响应处置</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重保总结汇报</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重保期间值守</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互联网暴露面排查</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制定终端安全工作策略及方案</w:t>
            </w:r>
          </w:p>
        </w:tc>
        <w:tc>
          <w:tcPr>
            <w:tcW w:type="dxa" w:w="2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包含所需配套设备</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提供终端准入管控服务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提供终端基础防病毒服务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提供终端桌面管理服务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提供终端数据防泄漏服务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提供终端文档加密服务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提供终端安全监管服务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提供终端安全应急响应服务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提供应用系统安全服务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《代码审计报告》，7个系统以内</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项</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提供应用系统上线需求评审服务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《业务上线安全测试报告》，7个系统以内</w:t>
            </w: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提供第三方组件检测服务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提供供应链安全排查服务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提供系统上线安全测试、白盒漏洞扫描、安全代码审计服务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提供弱口令排查服务</w:t>
            </w:r>
          </w:p>
        </w:tc>
        <w:tc>
          <w:tcPr>
            <w:tcW w:type="dxa" w:w="25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w:t>
            </w:r>
          </w:p>
        </w:tc>
        <w:tc>
          <w:tcPr>
            <w:tcW w:type="dxa" w:w="87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提供流量侧弱口令排查服务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提供应用系统弱口令排查服务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提供终端弱口令扫描服务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提供主机弱口令扫描服务</w:t>
            </w:r>
          </w:p>
        </w:tc>
        <w:tc>
          <w:tcPr>
            <w:tcW w:type="dxa" w:w="2561"/>
            <w:vMerge/>
            <w:tcBorders>
              <w:top w:val="none" w:color="000000" w:sz="4"/>
              <w:left w:val="none" w:color="000000" w:sz="4"/>
              <w:bottom w:val="single" w:color="000000" w:sz="4"/>
              <w:right w:val="single" w:color="000000" w:sz="4"/>
            </w:tcBorders>
          </w:tcPr>
          <w:p/>
        </w:tc>
        <w:tc>
          <w:tcPr>
            <w:tcW w:type="dxa" w:w="878"/>
            <w:vMerge/>
            <w:tcBorders>
              <w:top w:val="none" w:color="000000" w:sz="4"/>
              <w:left w:val="none" w:color="000000" w:sz="4"/>
              <w:bottom w:val="single" w:color="000000" w:sz="4"/>
              <w:right w:val="single" w:color="000000" w:sz="4"/>
            </w:tcBorders>
          </w:tcPr>
          <w:p/>
        </w:tc>
        <w:tc>
          <w:tcPr>
            <w:tcW w:type="dxa" w:w="673"/>
            <w:vMerge/>
            <w:tcBorders>
              <w:top w:val="none" w:color="000000" w:sz="4"/>
              <w:left w:val="none" w:color="000000" w:sz="4"/>
              <w:bottom w:val="single" w:color="000000" w:sz="4"/>
              <w:right w:val="single" w:color="000000" w:sz="4"/>
            </w:tcBorders>
          </w:tcPr>
          <w:p/>
        </w:tc>
      </w:tr>
      <w:tr>
        <w:tc>
          <w:tcPr>
            <w:tcW w:type="dxa" w:w="556"/>
            <w:vMerge/>
            <w:tcBorders>
              <w:top w:val="none" w:color="000000" w:sz="4"/>
              <w:left w:val="single" w:color="000000" w:sz="4"/>
              <w:bottom w:val="single" w:color="000000" w:sz="4"/>
              <w:right w:val="single" w:color="000000" w:sz="4"/>
            </w:tcBorders>
          </w:tcPr>
          <w:p/>
        </w:tc>
        <w:tc>
          <w:tcPr>
            <w:tcW w:type="dxa" w:w="790"/>
            <w:vMerge/>
            <w:tcBorders>
              <w:top w:val="none" w:color="000000" w:sz="4"/>
              <w:left w:val="none" w:color="000000" w:sz="4"/>
              <w:bottom w:val="single" w:color="000000" w:sz="4"/>
              <w:right w:val="single" w:color="000000" w:sz="4"/>
            </w:tcBorders>
          </w:tcPr>
          <w:p/>
        </w:tc>
        <w:tc>
          <w:tcPr>
            <w:tcW w:type="dxa" w:w="27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提供安全驻场服务</w:t>
            </w:r>
          </w:p>
        </w:tc>
        <w:tc>
          <w:tcPr>
            <w:tcW w:type="dxa" w:w="2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提供高级安全驻场人员</w:t>
            </w:r>
          </w:p>
        </w:tc>
        <w:tc>
          <w:tcPr>
            <w:tcW w:type="dxa" w:w="8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2</w:t>
            </w:r>
          </w:p>
        </w:tc>
        <w:tc>
          <w:tcPr>
            <w:tcW w:type="dxa" w:w="6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color w:val="000000"/>
              </w:rPr>
              <w:t>年</w:t>
            </w:r>
          </w:p>
        </w:tc>
      </w:tr>
    </w:tbl>
    <w:p>
      <w:pPr>
        <w:pStyle w:val="null3"/>
        <w:jc w:val="both"/>
      </w:pPr>
      <w:r>
        <w:rPr>
          <w:sz w:val="24"/>
        </w:rPr>
        <w:t>第三条  履行期限、地点和方式</w:t>
      </w:r>
    </w:p>
    <w:p>
      <w:pPr>
        <w:pStyle w:val="null3"/>
        <w:ind w:firstLine="420"/>
        <w:jc w:val="both"/>
      </w:pPr>
      <w:r>
        <w:rPr>
          <w:sz w:val="24"/>
        </w:rPr>
        <w:t>3.1、本合同有效期为</w:t>
      </w:r>
      <w:r>
        <w:rPr>
          <w:sz w:val="24"/>
          <w:u w:val="single"/>
        </w:rPr>
        <w:t>2</w:t>
      </w:r>
      <w:r>
        <w:rPr>
          <w:sz w:val="24"/>
        </w:rPr>
        <w:t xml:space="preserve">年，自 </w:t>
      </w:r>
      <w:r>
        <w:rPr>
          <w:sz w:val="24"/>
          <w:u w:val="single"/>
        </w:rPr>
        <w:t>2025年  月  日至2027年  月  日。</w:t>
      </w:r>
    </w:p>
    <w:p>
      <w:pPr>
        <w:pStyle w:val="null3"/>
        <w:ind w:firstLine="420"/>
        <w:jc w:val="both"/>
      </w:pPr>
      <w:r>
        <w:rPr>
          <w:sz w:val="24"/>
        </w:rPr>
        <w:t>3.2、地点：广州市</w:t>
      </w:r>
    </w:p>
    <w:p>
      <w:pPr>
        <w:pStyle w:val="null3"/>
        <w:ind w:firstLine="420"/>
        <w:jc w:val="both"/>
      </w:pPr>
      <w:r>
        <w:rPr>
          <w:sz w:val="24"/>
        </w:rPr>
        <w:t>3.3、方式：在本项目服务期限内，乙方须按合同约定，提供各项服务，并为甲方提供7×24技术服务热线。技术服务包括但不限于：安全咨询规划、风险检测与评估、安全运营监控及事件响应处理、安全培训、安全专项提升等。</w:t>
      </w:r>
    </w:p>
    <w:p>
      <w:pPr>
        <w:pStyle w:val="null3"/>
        <w:ind w:firstLine="420"/>
        <w:jc w:val="both"/>
      </w:pPr>
      <w:r>
        <w:rPr>
          <w:sz w:val="24"/>
        </w:rPr>
        <w:t>第四条  甲方向乙方支付服务报酬及支付方式为：</w:t>
      </w:r>
    </w:p>
    <w:p>
      <w:pPr>
        <w:pStyle w:val="null3"/>
        <w:ind w:firstLine="420"/>
        <w:jc w:val="both"/>
      </w:pPr>
      <w:r>
        <w:rPr>
          <w:sz w:val="24"/>
        </w:rPr>
        <w:t>4.1、服务报酬：本合同的服务报酬总金额为</w:t>
      </w:r>
      <w:r>
        <w:rPr>
          <w:sz w:val="24"/>
          <w:u w:val="single"/>
        </w:rPr>
        <w:t xml:space="preserve">       元 </w:t>
      </w:r>
      <w:r>
        <w:rPr>
          <w:sz w:val="24"/>
        </w:rPr>
        <w:t>人民币。</w:t>
      </w:r>
    </w:p>
    <w:p>
      <w:pPr>
        <w:pStyle w:val="null3"/>
        <w:ind w:firstLine="420"/>
        <w:jc w:val="both"/>
      </w:pPr>
      <w:r>
        <w:rPr>
          <w:sz w:val="24"/>
        </w:rPr>
        <w:t>4.2、支付方式：签订合同后，15个工作日内，乙方向甲方开具合同总金额50%的发票，办理50%金额合同款（即：</w:t>
      </w:r>
      <w:r>
        <w:rPr>
          <w:sz w:val="24"/>
          <w:u w:val="single"/>
        </w:rPr>
        <w:t xml:space="preserve">       </w:t>
      </w:r>
      <w:r>
        <w:rPr>
          <w:sz w:val="24"/>
        </w:rPr>
        <w:t xml:space="preserve">元）支付手续，甲方在收到发票后5个工作日内办理支付；2026年5月份，乙方向甲方开具合同总金额50%的发票，办理50%金额合同款（即： </w:t>
      </w:r>
      <w:r>
        <w:rPr>
          <w:sz w:val="24"/>
          <w:u w:val="single"/>
        </w:rPr>
        <w:t xml:space="preserve">       </w:t>
      </w:r>
      <w:r>
        <w:rPr>
          <w:sz w:val="24"/>
        </w:rPr>
        <w:t>元）支付手续，甲方在收到发票后5个工作日内办理支付。</w:t>
      </w:r>
    </w:p>
    <w:p>
      <w:pPr>
        <w:pStyle w:val="null3"/>
        <w:ind w:firstLine="420"/>
        <w:jc w:val="both"/>
      </w:pPr>
      <w:r>
        <w:rPr>
          <w:sz w:val="24"/>
        </w:rPr>
        <w:t>第五条  双方确定，按下列标准和方式对乙方提交的服务工作成果进行验收：</w:t>
      </w:r>
    </w:p>
    <w:p>
      <w:pPr>
        <w:pStyle w:val="null3"/>
        <w:ind w:firstLine="420"/>
        <w:jc w:val="both"/>
      </w:pPr>
      <w:r>
        <w:rPr>
          <w:sz w:val="24"/>
        </w:rPr>
        <w:t>5.1、乙方按时实施网络安全常态化安全运营工作，按时提供相关报告及方案。</w:t>
      </w:r>
    </w:p>
    <w:p>
      <w:pPr>
        <w:pStyle w:val="null3"/>
        <w:ind w:firstLine="420"/>
        <w:jc w:val="both"/>
      </w:pPr>
      <w:r>
        <w:rPr>
          <w:sz w:val="24"/>
        </w:rPr>
        <w:t>5.2、乙方须协助甲方实施并完成相关网络安全服务工作，及时有效的规避和处置网络安全风险，协助甲方解决安全突发事件；提供并保留相关安全事件记录。</w:t>
      </w:r>
    </w:p>
    <w:p>
      <w:pPr>
        <w:pStyle w:val="null3"/>
        <w:ind w:firstLine="420"/>
        <w:jc w:val="both"/>
      </w:pPr>
      <w:r>
        <w:rPr>
          <w:sz w:val="24"/>
        </w:rPr>
        <w:t>5.3、合同期满前10个工作日内，甲方根据乙方整体服务期服务情况出具整体服务期服务验收报告，双方确认且加盖公章后双方归档留存。</w:t>
      </w:r>
    </w:p>
    <w:p>
      <w:pPr>
        <w:pStyle w:val="null3"/>
        <w:ind w:firstLine="420"/>
        <w:jc w:val="both"/>
      </w:pPr>
      <w:r>
        <w:rPr>
          <w:sz w:val="24"/>
        </w:rPr>
        <w:t>第六条  违约责任</w:t>
      </w:r>
    </w:p>
    <w:p>
      <w:pPr>
        <w:pStyle w:val="null3"/>
        <w:ind w:firstLine="420"/>
        <w:jc w:val="both"/>
      </w:pPr>
      <w:r>
        <w:rPr>
          <w:sz w:val="24"/>
        </w:rPr>
        <w:t>6.1、合同履行期间，除本合同另有约定外，乙方擅自终止履行合同的，应退回本年度全部费用，并按合同总金额的30%向甲方支付违约金，并赔偿由此给甲方造成的全部损失。</w:t>
      </w:r>
    </w:p>
    <w:p>
      <w:pPr>
        <w:pStyle w:val="null3"/>
        <w:ind w:firstLine="420"/>
        <w:jc w:val="both"/>
      </w:pPr>
      <w:r>
        <w:rPr>
          <w:sz w:val="24"/>
        </w:rPr>
        <w:t>6.2、如乙方出现任一逾期情形，包括但不限于未按甲方要求或未依约按时完成本合同约定服务、未按照采购需要在规定时间内响应服务、未按时提供各阶段服务成果及验收报告。每迟延一日，乙方应按本年度全部费用的千分之三（3‰）向甲方支付违约金。逾期超过30天的，乙方赔偿由此给甲方造成的全部损失，并向甲方支付本年度全部费用30%的违约金。</w:t>
      </w:r>
    </w:p>
    <w:p>
      <w:pPr>
        <w:pStyle w:val="null3"/>
        <w:ind w:firstLine="420"/>
        <w:jc w:val="both"/>
      </w:pPr>
      <w:r>
        <w:rPr>
          <w:sz w:val="24"/>
        </w:rPr>
        <w:t>6.3、乙方未能按照本合同约定完成项目，甲方有权要求乙方承担违约责任后继续履行合同。</w:t>
      </w:r>
    </w:p>
    <w:p>
      <w:pPr>
        <w:pStyle w:val="null3"/>
        <w:ind w:firstLine="420"/>
        <w:jc w:val="both"/>
      </w:pPr>
      <w:r>
        <w:rPr>
          <w:sz w:val="24"/>
        </w:rPr>
        <w:t>6.4、乙方向甲方提供的任何服务、工作成果的全部或部分以及在服务过程中，侵犯任何第三方的所有权、人身权、知识产权及其它合法权益的，乙方应自行向第三方承担全部法律责任，尽全力处理，以降低对甲方的不良影响，甲方有权单方解除合同，乙方应退还未提供服务期间的费用，同时向甲方支付本年度全部费用30%的违约金，并赔偿由此给甲方造成的全部损失。</w:t>
      </w:r>
    </w:p>
    <w:p>
      <w:pPr>
        <w:pStyle w:val="null3"/>
        <w:ind w:firstLine="420"/>
        <w:jc w:val="both"/>
      </w:pPr>
      <w:r>
        <w:rPr>
          <w:sz w:val="24"/>
        </w:rPr>
        <w:t>6.5、乙方违反合同约定的保密义务，乙方承担本年度全部费用30%的违约金，并赔偿由此给甲方造成的全部损失。</w:t>
      </w:r>
    </w:p>
    <w:p>
      <w:pPr>
        <w:pStyle w:val="null3"/>
        <w:ind w:firstLine="420"/>
        <w:jc w:val="both"/>
      </w:pPr>
      <w:r>
        <w:rPr>
          <w:sz w:val="24"/>
        </w:rPr>
        <w:t>6.6、除上述条款列举的情形外，如乙方有违反本合同约定或违反保证或违反合同附件约定的其他违约行为，乙方应就每一单项违约向甲方支付本年度全部费用5%的违约金。经甲方指出后7个工作日内仍未纠正或未支付违约金并赔偿损失的，或违约次数达到3次的，乙方向甲方支付本年度全部费用30%的违约金，并赔偿由此给甲方造成的全部损失。</w:t>
      </w:r>
    </w:p>
    <w:p>
      <w:pPr>
        <w:pStyle w:val="null3"/>
        <w:ind w:firstLine="420"/>
        <w:jc w:val="both"/>
      </w:pPr>
      <w:r>
        <w:rPr>
          <w:sz w:val="24"/>
        </w:rPr>
        <w:t xml:space="preserve">第七条  双方因履行本合同而发生的争议，应协商、调解解决。协商、调解不成的，任何一方均可向甲方所在地人民法院提起诉讼。   </w:t>
      </w:r>
    </w:p>
    <w:p>
      <w:pPr>
        <w:pStyle w:val="null3"/>
        <w:ind w:firstLine="420"/>
        <w:jc w:val="both"/>
      </w:pPr>
      <w:r>
        <w:rPr>
          <w:sz w:val="24"/>
        </w:rPr>
        <w:t>第八条  本合同经双方法定代表人或其委托代理人签字并加盖公章即为生效，合同一式六份，其中甲方两份、乙方四份、具有同等法律效力。</w:t>
      </w:r>
    </w:p>
    <w:p>
      <w:pPr>
        <w:pStyle w:val="null3"/>
        <w:ind w:firstLine="420"/>
        <w:jc w:val="both"/>
      </w:pPr>
      <w:r>
        <w:rPr>
          <w:sz w:val="24"/>
        </w:rPr>
        <w:t>第九条  下列文件为本合同不可分割部分，与本合同具有同等法律效力。</w:t>
      </w:r>
    </w:p>
    <w:p>
      <w:pPr>
        <w:pStyle w:val="null3"/>
        <w:ind w:firstLine="420"/>
        <w:jc w:val="both"/>
      </w:pPr>
      <w:r>
        <w:rPr>
          <w:sz w:val="24"/>
        </w:rPr>
        <w:t>1、 单一来源采购文件</w:t>
      </w:r>
    </w:p>
    <w:p>
      <w:pPr>
        <w:pStyle w:val="null3"/>
        <w:ind w:firstLine="420"/>
        <w:jc w:val="both"/>
      </w:pPr>
      <w:r>
        <w:rPr>
          <w:sz w:val="24"/>
        </w:rPr>
        <w:t>2、 成交供应商响应文件</w:t>
      </w:r>
    </w:p>
    <w:p>
      <w:pPr>
        <w:pStyle w:val="null3"/>
        <w:ind w:firstLine="420"/>
        <w:jc w:val="both"/>
      </w:pPr>
      <w:r>
        <w:rPr>
          <w:sz w:val="24"/>
        </w:rPr>
        <w:t>3、 乙方所做的其他承诺文件</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(本页无正文)</w:t>
      </w:r>
    </w:p>
    <w:p>
      <w:pPr>
        <w:pStyle w:val="null3"/>
        <w:ind w:firstLine="420"/>
        <w:jc w:val="both"/>
      </w:pPr>
      <w:r>
        <w:rPr/>
        <w:t xml:space="preserve"> </w:t>
      </w:r>
    </w:p>
    <w:p>
      <w:pPr>
        <w:pStyle w:val="null3"/>
        <w:ind w:firstLine="420"/>
        <w:jc w:val="both"/>
      </w:pPr>
      <w:r>
        <w:rPr/>
        <w:t xml:space="preserve"> </w:t>
      </w:r>
    </w:p>
    <w:p>
      <w:pPr>
        <w:pStyle w:val="null3"/>
        <w:jc w:val="both"/>
      </w:pPr>
      <w:r>
        <w:rPr>
          <w:sz w:val="24"/>
        </w:rPr>
        <w:t>需方（甲方）（章）：                   供方（乙方）（章）：</w:t>
      </w:r>
    </w:p>
    <w:p>
      <w:pPr>
        <w:pStyle w:val="null3"/>
        <w:ind w:firstLine="420"/>
        <w:jc w:val="both"/>
      </w:pPr>
      <w:r>
        <w:rPr>
          <w:sz w:val="24"/>
        </w:rPr>
        <w:t>广东省体育彩票中心</w:t>
      </w:r>
    </w:p>
    <w:p>
      <w:pPr>
        <w:pStyle w:val="null3"/>
        <w:ind w:firstLine="420"/>
        <w:jc w:val="both"/>
      </w:pPr>
      <w:r>
        <w:rPr>
          <w:sz w:val="24"/>
        </w:rPr>
        <w:t>法定代表人：                                法定代表人：</w:t>
      </w:r>
    </w:p>
    <w:p>
      <w:pPr>
        <w:pStyle w:val="null3"/>
        <w:ind w:firstLine="420"/>
        <w:jc w:val="both"/>
      </w:pPr>
      <w:r>
        <w:rPr>
          <w:sz w:val="24"/>
        </w:rPr>
        <w:t>委托代理人：                                委托代理人：</w:t>
      </w:r>
    </w:p>
    <w:p>
      <w:pPr>
        <w:pStyle w:val="null3"/>
        <w:ind w:firstLine="420"/>
        <w:jc w:val="both"/>
      </w:pPr>
      <w:r>
        <w:rPr>
          <w:sz w:val="24"/>
        </w:rPr>
        <w:t>地 址：                                         地 址：</w:t>
      </w:r>
    </w:p>
    <w:p>
      <w:pPr>
        <w:pStyle w:val="null3"/>
        <w:ind w:firstLine="420"/>
        <w:jc w:val="both"/>
      </w:pPr>
      <w:r>
        <w:rPr>
          <w:sz w:val="24"/>
        </w:rPr>
        <w:t>电 话：                                         电 话：</w:t>
      </w:r>
    </w:p>
    <w:p>
      <w:pPr>
        <w:pStyle w:val="null3"/>
        <w:ind w:firstLine="420"/>
        <w:jc w:val="both"/>
      </w:pPr>
      <w:r>
        <w:rPr>
          <w:sz w:val="24"/>
        </w:rPr>
        <w:t>开户银行：                                   开户银行：</w:t>
      </w:r>
    </w:p>
    <w:p>
      <w:pPr>
        <w:pStyle w:val="null3"/>
        <w:ind w:firstLine="420"/>
        <w:jc w:val="both"/>
      </w:pPr>
      <w:r>
        <w:rPr>
          <w:sz w:val="24"/>
        </w:rPr>
        <w:t>账 号：                                         账号</w:t>
      </w:r>
      <w:r>
        <w:rPr>
          <w:sz w:val="24"/>
        </w:rPr>
        <w:t>：</w:t>
      </w:r>
    </w:p>
    <w:p>
      <w:pPr>
        <w:pStyle w:val="null3"/>
        <w:ind w:firstLine="420"/>
        <w:jc w:val="both"/>
      </w:pPr>
      <w:r>
        <w:rPr>
          <w:sz w:val="24"/>
        </w:rPr>
        <w:t>日 期：    年   月   日                     日 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440001-2025-11529</w:t>
      </w:r>
    </w:p>
    <w:p>
      <w:pPr>
        <w:pStyle w:val="null3"/>
        <w:jc w:val="center"/>
        <w:outlineLvl w:val="3"/>
      </w:pPr>
      <w:r>
        <w:rPr>
          <w:sz w:val="24"/>
          <w:b/>
        </w:rPr>
        <w:t>采购项目编号：</w:t>
      </w:r>
      <w:r>
        <w:rPr>
          <w:sz w:val="24"/>
          <w:b/>
        </w:rPr>
        <w:t>GZCQC2500FD03001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广东省体育彩票中心体育彩票生产销售系统网络与信息安全服务</w:t>
      </w:r>
      <w:r>
        <w:rPr/>
        <w:t>[采购项目编号为：</w:t>
      </w:r>
      <w:r>
        <w:rPr>
          <w:u w:val="single"/>
        </w:rPr>
        <w:t>GZCQC2500FD03001</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广东省体育彩票中心体育彩票生产销售系统网络与信息安全服务</w:t>
      </w:r>
      <w:r>
        <w:rPr/>
        <w:t>”项目采购[采购项目编号为</w:t>
      </w:r>
      <w:r>
        <w:rPr/>
        <w:t>GZCQC2500FD03001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广东省体育彩票中心体育彩票生产销售系统网络与信息安全服务</w:t>
      </w:r>
      <w:r>
        <w:rPr/>
        <w:t>采购中获成交资格（采购项目编号：</w:t>
      </w:r>
      <w:r>
        <w:rPr/>
        <w:t>GZCQC2500FD03001</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r>
        <w:rPr/>
        <w:t>：</w:t>
      </w:r>
    </w:p>
    <w:p>
      <w:pPr>
        <w:pStyle w:val="null3"/>
        <w:ind w:firstLine="480"/>
      </w:pPr>
      <w:r>
        <w:rPr/>
        <w:t>我单位已登记并准备参与“</w:t>
      </w:r>
      <w:r>
        <w:rPr/>
        <w:t>广东省体育彩票中心体育彩票生产销售系统网络与信息安全服务</w:t>
      </w:r>
      <w:r>
        <w:rPr/>
        <w:t>”项目（采购项目编号：</w:t>
      </w:r>
      <w:r>
        <w:rPr/>
        <w:t>GZCQC2500FD03001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