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440101-2025-01950</w:t>
      </w:r>
    </w:p>
    <w:p>
      <w:pPr>
        <w:pStyle w:val="null3"/>
        <w:jc w:val="center"/>
        <w:outlineLvl w:val="3"/>
      </w:pPr>
      <w:r>
        <w:rPr>
          <w:sz w:val="24"/>
          <w:b/>
        </w:rPr>
        <w:t>采购项目编号：</w:t>
      </w:r>
      <w:r>
        <w:rPr>
          <w:sz w:val="24"/>
          <w:b/>
        </w:rPr>
        <w:t>GZCQC2500FG01007</w:t>
      </w:r>
    </w:p>
    <w:p>
      <w:pPr>
        <w:pStyle w:val="null3"/>
        <w:jc w:val="center"/>
        <w:outlineLvl w:val="3"/>
      </w:pPr>
      <w:r>
        <w:rPr>
          <w:sz w:val="24"/>
          <w:b/>
        </w:rPr>
        <w:t>项目名称：</w:t>
      </w:r>
      <w:r>
        <w:rPr>
          <w:sz w:val="24"/>
          <w:b/>
        </w:rPr>
        <w:t>城维计划-综合交通规划编制经费（子项12：广州市货运机场选址及临空产业园区交通支撑体系规划研究）</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w:t>
      </w:r>
      <w:r>
        <w:rPr/>
        <w:t>的委托，采用</w:t>
      </w:r>
      <w:r>
        <w:rPr/>
        <w:t>公开招标</w:t>
      </w:r>
      <w:r>
        <w:rPr/>
        <w:t>方式组织采购</w:t>
      </w:r>
      <w:r>
        <w:rPr/>
        <w:t>城维计划-综合交通规划编制经费（子项12：广州市货运机场选址及临空产业园区交通支撑体系规划研究）</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城维计划-综合交通规划编制经费（子项12：广州市货运机场选址及临空产业园区交通支撑体系规划研究）</w:t>
      </w:r>
    </w:p>
    <w:p>
      <w:pPr>
        <w:pStyle w:val="null3"/>
        <w:ind w:firstLine="480"/>
      </w:pPr>
      <w:r>
        <w:rPr/>
        <w:t>采购计划编号：</w:t>
      </w:r>
      <w:r>
        <w:rPr/>
        <w:t>440101-2025-01950</w:t>
      </w:r>
    </w:p>
    <w:p>
      <w:pPr>
        <w:pStyle w:val="null3"/>
        <w:ind w:firstLine="480"/>
      </w:pPr>
      <w:r>
        <w:rPr/>
        <w:t>采购项目编号：</w:t>
      </w:r>
      <w:r>
        <w:rPr/>
        <w:t>GZCQC2500FG01007</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采购包1(城维计划-综合交通规划编制经费（子项12：广州市货运机场选址及临空产业园区交通支撑体系规划研究）):</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城维计划-综合交通规划编制经费（子项12：广州市货运机场选址及临空产业园区交通支撑体系规划研究）</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合同履行期限：自合同签订之日起至2026年6月30日。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采购包1（城维计划-综合交通规划编制经费（子项12：广州市货运机场选址及临空产业园区交通支撑体系规划研究））：</w:t>
      </w:r>
      <w:r>
        <w:rPr/>
        <w:t>本采购包整体专门面向中小企业采购。投标人须符合本项目采购标的对应行业（本项目行业为：其他未列明行业）的政策划分标准的中小微企业。监狱企业、残疾人福利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采购包1（城维计划-综合交通规划编制经费（子项12：广州市货运机场选址及临空产业园区交通支撑体系规划研究））：</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接受联合体投标，联合体成员不得超过2家。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020-83332599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4236"/>
        <w:gridCol w:w="1028"/>
        <w:gridCol w:w="3042"/>
      </w:tblGrid>
      <w:tr>
        <w:tc>
          <w:tcPr>
            <w:tcW w:type="dxa" w:w="423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30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p>
          <w:p>
            <w:pPr>
              <w:pStyle w:val="null3"/>
              <w:jc w:val="center"/>
            </w:pPr>
            <w:r>
              <w:rPr>
                <w:sz w:val="24"/>
                <w:b/>
              </w:rPr>
              <w:t>（人民币/元）</w:t>
            </w:r>
          </w:p>
        </w:tc>
      </w:tr>
      <w:tr>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城维计划-综合交通规划编制经费（子项12：广州市货运机场选址及临空产业园区交通支撑体系规划研究）</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3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1,800,000.00</w:t>
            </w:r>
          </w:p>
        </w:tc>
      </w:tr>
    </w:tbl>
    <w:p>
      <w:pPr>
        <w:pStyle w:val="null3"/>
      </w:pPr>
      <w:r>
        <w:rPr/>
        <w:t>采购包1（城维计划-综合交通规划编制经费（子项12：广州市货运机场选址及临空产业园区交通支撑体系规划研究））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自合同签订之日起至2026年6月30日。</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第1期为(预付款)：支付比例50%，签订合同后，采购人自收到发票后5个工作日内向中标人支付本项目合同总金额的50%。预计在2025年3月31日前支付第一期费用。</w:t>
            </w:r>
          </w:p>
          <w:p>
            <w:pPr>
              <w:pStyle w:val="null3"/>
            </w:pPr>
            <w:r>
              <w:rPr/>
              <w:t>第2期为(进度款)：支付比例30%，2025年8月31日前，中标人按期完成规划成果，并通过专家评审后申请拨付合同经费，合同总金额的30%。预计在2025年8月31日前支付第二期费用。</w:t>
            </w:r>
          </w:p>
          <w:p>
            <w:pPr>
              <w:pStyle w:val="null3"/>
            </w:pPr>
            <w:r>
              <w:rPr/>
              <w:t>第3期为(尾款)：支付比例20%，2025年11月30日前，中标人根据采购人审查意见修改规划成果。最终成果经采购人验收通过并出具结题函，待成果归档后申请拨付合同经费，合同总金额的20%。预计在2025年11月30日前支付第三期费用。 注： （1）对于满足合同支付条件的，采购人原则上应当在收到发票后5个工作日内按照《广州市本级财政直接支付用款申请办事指南》办理支付手续。 （2）每次按合同支付款项前，中标人应向采购人提供与支付金额相符的有效发票，且收款方、出具发票方、合同乙方均必须与中标人名称一致。 （3）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1.中标人完成技术服务工作的形式：本项工作采取分阶段评审的方式，广州市规划和自然资源局负责组织审查工作。 2.技术服务工作成果的验收标准：符合项目任务书研究内容的要求，且通过采购人组织的专家审查会审查。 3.技术服务工作成果的验收方法：研究成果由广州市规划和自然资源局组织审查；项目承担单位负责提供审查和验收所必须的研究成果和汇报资料。 4.验收的时间和地点：由采购人决定。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★报价要求，本项目总价报价，凡超过最高限价的投标报价均视为无效报价。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城维计划-综合交通规划编制经费（子项12：广州市货运机场选址及临空产业园区交通支撑体系规划研究）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1,800,000.00</w:t>
            </w:r>
          </w:p>
        </w:tc>
        <w:tc>
          <w:tcPr>
            <w:tcW w:type="dxa" w:w="933"/>
          </w:tcPr>
          <w:p>
            <w:pPr>
              <w:pStyle w:val="null3"/>
              <w:jc w:val="right"/>
            </w:pPr>
            <w:r>
              <w:rPr/>
              <w:t>1,800,000.00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城维计划-综合交通规划编制经费（子项12：广州市货运机场选址及临空产业园区交通支撑体系规划研究）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color w:val="000000"/>
              </w:rPr>
              <w:t>一、项目背景</w:t>
            </w:r>
          </w:p>
          <w:p>
            <w:pPr>
              <w:pStyle w:val="null3"/>
              <w:ind w:firstLine="480"/>
              <w:jc w:val="both"/>
            </w:pPr>
            <w:r>
              <w:rPr>
                <w:sz w:val="24"/>
                <w:color w:val="000000"/>
              </w:rPr>
              <w:t>2020</w:t>
            </w:r>
            <w:r>
              <w:rPr>
                <w:sz w:val="24"/>
                <w:color w:val="000000"/>
              </w:rPr>
              <w:t>年8月，中国民用航空局、国家发展和改革委员会联合印发《关于促进航空货运设施发展的意见》，要求充分挖掘既有综合性机场的货运设施能力，结合空港型国家物流枢纽建设，研究提出由综合性枢纽机场和专业性货运枢纽机场共同组成的航空货运枢纽规划布局。</w:t>
            </w:r>
          </w:p>
          <w:p>
            <w:pPr>
              <w:pStyle w:val="null3"/>
              <w:ind w:firstLine="480"/>
              <w:jc w:val="both"/>
            </w:pPr>
            <w:r>
              <w:rPr>
                <w:sz w:val="24"/>
                <w:color w:val="000000"/>
              </w:rPr>
              <w:t>2022</w:t>
            </w:r>
            <w:r>
              <w:rPr>
                <w:sz w:val="24"/>
                <w:color w:val="000000"/>
              </w:rPr>
              <w:t>年12月，商务部印发《广州市服务业扩大开放综合试点总体方案》，提出“在广州白云国际机场试点前置安检及设立货运航班时刻池，增加货运航班时刻供给，鼓励航空公司在广州白云国际机场投放货运机队……建设国际航空货运体系，支持根据广州市发展需要，在平等互利基础上对外磋商扩大货运航权安排”。</w:t>
            </w:r>
          </w:p>
          <w:p>
            <w:pPr>
              <w:pStyle w:val="null3"/>
              <w:ind w:firstLine="480"/>
              <w:jc w:val="both"/>
            </w:pPr>
            <w:r>
              <w:rPr>
                <w:sz w:val="24"/>
                <w:color w:val="000000"/>
              </w:rPr>
              <w:t>2024</w:t>
            </w:r>
            <w:r>
              <w:rPr>
                <w:sz w:val="24"/>
                <w:color w:val="000000"/>
              </w:rPr>
              <w:t>年8月，中国民用航空局、国家发展和改革委员会联合印发《关于推进国际航空枢纽建设的指导意见》，明确提出“做好航空枢纽体系战略谋划，加强枢纽规划与其他规划的统筹衔接，提高资源和政策供给水平，高质量引领航空枢纽建设……支持外贸活跃度高的城市依托机场积极发展航空货运，打造航空物流枢纽集群，统筹推进机场群货运能力协同发展。”</w:t>
            </w:r>
          </w:p>
          <w:p>
            <w:pPr>
              <w:pStyle w:val="null3"/>
              <w:ind w:firstLine="480"/>
              <w:jc w:val="both"/>
            </w:pPr>
            <w:r>
              <w:rPr>
                <w:sz w:val="24"/>
                <w:color w:val="000000"/>
              </w:rPr>
              <w:t>2024</w:t>
            </w:r>
            <w:r>
              <w:rPr>
                <w:sz w:val="24"/>
                <w:color w:val="000000"/>
              </w:rPr>
              <w:t>年12月，广州市委常委会召开会议，提出要加快构建“12218”现代化产业体系，坚持产业第一、制造业立市，推动制造业、服务业“两业融合”，数智化、绿色化“两化转型”，打造发展新质生产力的重要阵地，重构产业发展新优势。</w:t>
            </w:r>
          </w:p>
          <w:p>
            <w:pPr>
              <w:pStyle w:val="null3"/>
              <w:ind w:firstLine="480"/>
              <w:jc w:val="both"/>
            </w:pPr>
            <w:r>
              <w:rPr>
                <w:sz w:val="24"/>
                <w:color w:val="000000"/>
              </w:rPr>
              <w:t>为响应国家关于航空货运发展要求，助力广州制造业立市，需开展广州市货运机场选址研究工作。因此，广州市规划和自然资源局计划组织开展《广州市货运机场选址及临空产业园区交通支撑体系规划研究》编制工作。</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二、工作范围、年限及深度</w:t>
            </w:r>
          </w:p>
          <w:p>
            <w:pPr>
              <w:pStyle w:val="null3"/>
              <w:ind w:firstLine="482"/>
              <w:jc w:val="both"/>
            </w:pPr>
            <w:r>
              <w:rPr>
                <w:sz w:val="24"/>
                <w:b/>
              </w:rPr>
              <w:t>1</w:t>
            </w:r>
            <w:r>
              <w:rPr>
                <w:sz w:val="24"/>
                <w:b/>
              </w:rPr>
              <w:t>、研究范围</w:t>
            </w:r>
          </w:p>
          <w:p>
            <w:pPr>
              <w:pStyle w:val="null3"/>
              <w:ind w:firstLine="480"/>
              <w:jc w:val="both"/>
            </w:pPr>
            <w:r>
              <w:rPr>
                <w:sz w:val="24"/>
              </w:rPr>
              <w:t>重点范围：广州市行政区划范围，总面积7434.40平方公里。</w:t>
            </w:r>
          </w:p>
          <w:p>
            <w:pPr>
              <w:pStyle w:val="null3"/>
              <w:ind w:firstLine="480"/>
              <w:jc w:val="both"/>
            </w:pPr>
            <w:r>
              <w:rPr>
                <w:sz w:val="24"/>
              </w:rPr>
              <w:t>扩展范围：粤港澳大湾区（9市2区），总面积5.6万平方公里。</w:t>
            </w:r>
          </w:p>
          <w:p>
            <w:pPr>
              <w:pStyle w:val="null3"/>
              <w:ind w:firstLine="482"/>
              <w:jc w:val="both"/>
            </w:pPr>
            <w:r>
              <w:rPr>
                <w:sz w:val="24"/>
                <w:b/>
              </w:rPr>
              <w:t>2</w:t>
            </w:r>
            <w:r>
              <w:rPr>
                <w:sz w:val="24"/>
                <w:b/>
              </w:rPr>
              <w:t>、研究年限</w:t>
            </w:r>
          </w:p>
          <w:p>
            <w:pPr>
              <w:pStyle w:val="null3"/>
              <w:ind w:firstLine="480"/>
              <w:jc w:val="both"/>
            </w:pPr>
            <w:r>
              <w:rPr>
                <w:sz w:val="24"/>
              </w:rPr>
              <w:t>研究年限为2024-2035年。</w:t>
            </w:r>
          </w:p>
          <w:p>
            <w:pPr>
              <w:pStyle w:val="null3"/>
              <w:ind w:firstLine="482"/>
              <w:jc w:val="both"/>
            </w:pPr>
            <w:r>
              <w:rPr>
                <w:sz w:val="24"/>
                <w:b/>
              </w:rPr>
              <w:t>3</w:t>
            </w:r>
            <w:r>
              <w:rPr>
                <w:sz w:val="24"/>
                <w:b/>
              </w:rPr>
              <w:t>、研究任务</w:t>
            </w:r>
          </w:p>
          <w:p>
            <w:pPr>
              <w:pStyle w:val="null3"/>
              <w:ind w:firstLine="480"/>
              <w:jc w:val="both"/>
            </w:pPr>
            <w:r>
              <w:rPr>
                <w:sz w:val="24"/>
              </w:rPr>
              <w:t>（1）广州货运机场建设的必要性、实施时机及路径。</w:t>
            </w:r>
          </w:p>
          <w:p>
            <w:pPr>
              <w:pStyle w:val="null3"/>
              <w:ind w:firstLine="480"/>
              <w:jc w:val="both"/>
            </w:pPr>
            <w:r>
              <w:rPr>
                <w:sz w:val="24"/>
              </w:rPr>
              <w:t>（2）货运机场选址及控制要求研究。</w:t>
            </w:r>
          </w:p>
          <w:p>
            <w:pPr>
              <w:pStyle w:val="null3"/>
              <w:ind w:firstLine="480"/>
              <w:jc w:val="both"/>
            </w:pPr>
            <w:r>
              <w:rPr>
                <w:sz w:val="24"/>
              </w:rPr>
              <w:t>（3）临空产业园区的空间结构、产业功能。</w:t>
            </w:r>
          </w:p>
          <w:p>
            <w:pPr>
              <w:pStyle w:val="null3"/>
              <w:ind w:firstLine="480"/>
              <w:jc w:val="both"/>
            </w:pPr>
            <w:r>
              <w:rPr>
                <w:sz w:val="24"/>
              </w:rPr>
              <w:t>（4）货运机场集疏运交通体系方案。</w:t>
            </w:r>
          </w:p>
        </w:tc>
      </w:tr>
      <w:tr>
        <w:tc>
          <w:tcPr>
            <w:tcW w:type="dxa" w:w="2076"/>
          </w:tcPr>
          <w:p/>
        </w:tc>
        <w:tc>
          <w:tcPr>
            <w:tcW w:type="dxa" w:w="415"/>
          </w:tcPr>
          <w:p>
            <w:pPr>
              <w:pStyle w:val="null3"/>
            </w:pPr>
            <w:r>
              <w:rPr/>
              <w:t>3</w:t>
            </w:r>
          </w:p>
        </w:tc>
        <w:tc>
          <w:tcPr>
            <w:tcW w:type="dxa" w:w="5814"/>
          </w:tcPr>
          <w:p>
            <w:pPr>
              <w:pStyle w:val="null3"/>
              <w:ind w:firstLine="482"/>
              <w:jc w:val="both"/>
            </w:pPr>
            <w:r>
              <w:rPr>
                <w:sz w:val="24"/>
                <w:b/>
              </w:rPr>
              <w:t>三、编制原则</w:t>
            </w:r>
          </w:p>
          <w:p>
            <w:pPr>
              <w:pStyle w:val="null3"/>
              <w:ind w:firstLine="480"/>
              <w:jc w:val="both"/>
            </w:pPr>
            <w:r>
              <w:rPr>
                <w:sz w:val="24"/>
              </w:rPr>
              <w:t>1</w:t>
            </w:r>
            <w:r>
              <w:rPr>
                <w:sz w:val="24"/>
              </w:rPr>
              <w:t>、与上层规划协调原则。规划应与全国民用运输机场布局规划、粤港澳大湾区发展规划纲要、广东省国土空间规划、广东省综合立体交通网规划纲要、广州市国土空间总体规划、广州市综合立体交通网规划、广州市交通发展战略规划等上层次规划相协调，落实上层次规划意图。</w:t>
            </w:r>
          </w:p>
          <w:p>
            <w:pPr>
              <w:pStyle w:val="null3"/>
              <w:ind w:firstLine="480"/>
              <w:jc w:val="both"/>
            </w:pPr>
            <w:r>
              <w:rPr>
                <w:sz w:val="24"/>
              </w:rPr>
              <w:t>2</w:t>
            </w:r>
            <w:r>
              <w:rPr>
                <w:sz w:val="24"/>
              </w:rPr>
              <w:t>、前瞻性与可操作性兼顾原则。货运机场选址规划研究应具有宏观引导作用，除预控远期发展空间与实施、充分体现规划前瞻性外，同时需要给出明确的实施路径。</w:t>
            </w:r>
          </w:p>
          <w:p>
            <w:pPr>
              <w:pStyle w:val="null3"/>
              <w:ind w:firstLine="480"/>
              <w:jc w:val="both"/>
            </w:pPr>
            <w:r>
              <w:rPr>
                <w:sz w:val="24"/>
              </w:rPr>
              <w:t>3</w:t>
            </w:r>
            <w:r>
              <w:rPr>
                <w:sz w:val="24"/>
              </w:rPr>
              <w:t>、与产业发展互动原则。利用货运机场落点布局，支撑广州市和粤港澳大湾区新兴产业发展，引导现有优势产业升级，推动机场周边区域城市空间、环境、交通设施布局等优化和提升。</w:t>
            </w:r>
          </w:p>
        </w:tc>
      </w:tr>
      <w:tr>
        <w:tc>
          <w:tcPr>
            <w:tcW w:type="dxa" w:w="2076"/>
          </w:tcPr>
          <w:p/>
        </w:tc>
        <w:tc>
          <w:tcPr>
            <w:tcW w:type="dxa" w:w="415"/>
          </w:tcPr>
          <w:p>
            <w:pPr>
              <w:pStyle w:val="null3"/>
            </w:pPr>
            <w:r>
              <w:rPr/>
              <w:t>4</w:t>
            </w:r>
          </w:p>
        </w:tc>
        <w:tc>
          <w:tcPr>
            <w:tcW w:type="dxa" w:w="5814"/>
          </w:tcPr>
          <w:p>
            <w:pPr>
              <w:pStyle w:val="null3"/>
              <w:ind w:firstLine="482"/>
              <w:jc w:val="both"/>
            </w:pPr>
            <w:r>
              <w:rPr>
                <w:sz w:val="24"/>
                <w:b/>
              </w:rPr>
              <w:t>四、编制内容</w:t>
            </w:r>
          </w:p>
          <w:p>
            <w:pPr>
              <w:pStyle w:val="null3"/>
              <w:ind w:firstLine="480"/>
              <w:jc w:val="both"/>
            </w:pPr>
            <w:r>
              <w:rPr>
                <w:sz w:val="24"/>
              </w:rPr>
              <w:t>1</w:t>
            </w:r>
            <w:r>
              <w:rPr>
                <w:sz w:val="24"/>
              </w:rPr>
              <w:t>、粤港澳大湾区机场群发展情况。</w:t>
            </w:r>
          </w:p>
          <w:p>
            <w:pPr>
              <w:pStyle w:val="null3"/>
              <w:ind w:firstLine="480"/>
              <w:jc w:val="both"/>
            </w:pPr>
            <w:r>
              <w:rPr>
                <w:sz w:val="24"/>
              </w:rPr>
              <w:t>搜集并分析近年来粤港澳大湾区各机场的发展、建设情况和机场周边临空经济区的发展状况，以及粤港澳大湾区空域的总体资源及其限制因素，明确大湾区机场货运发展基础，评估其对未来货运机场选址及运营的影响。</w:t>
            </w:r>
          </w:p>
          <w:p>
            <w:pPr>
              <w:pStyle w:val="null3"/>
              <w:ind w:firstLine="480"/>
              <w:jc w:val="both"/>
            </w:pPr>
            <w:r>
              <w:rPr>
                <w:sz w:val="24"/>
              </w:rPr>
              <w:t>2</w:t>
            </w:r>
            <w:r>
              <w:rPr>
                <w:sz w:val="24"/>
              </w:rPr>
              <w:t>、国内外货运机场发展经验借鉴。</w:t>
            </w:r>
          </w:p>
          <w:p>
            <w:pPr>
              <w:pStyle w:val="null3"/>
              <w:ind w:firstLine="480"/>
              <w:jc w:val="both"/>
            </w:pPr>
            <w:r>
              <w:rPr>
                <w:sz w:val="24"/>
              </w:rPr>
              <w:t>梳理国内外成功的货运机场案例，分析其货运业务发展模式、临空产业规划、交通支撑体系、与龙头货运企业合作模式等方面的经验，为广州货运机场的建设提供启示。</w:t>
            </w:r>
          </w:p>
          <w:p>
            <w:pPr>
              <w:pStyle w:val="null3"/>
              <w:ind w:firstLine="480"/>
              <w:jc w:val="both"/>
            </w:pPr>
            <w:r>
              <w:rPr>
                <w:sz w:val="24"/>
              </w:rPr>
              <w:t>3</w:t>
            </w:r>
            <w:r>
              <w:rPr>
                <w:sz w:val="24"/>
              </w:rPr>
              <w:t>、广州货运机场建设必要性分析。</w:t>
            </w:r>
          </w:p>
          <w:p>
            <w:pPr>
              <w:pStyle w:val="null3"/>
              <w:ind w:firstLine="480"/>
              <w:jc w:val="both"/>
            </w:pPr>
            <w:r>
              <w:rPr>
                <w:sz w:val="24"/>
              </w:rPr>
              <w:t>从国际、国家、大湾区、城市四个层面分别分析对外贸易需求、航空货运发展的政策、城市群间竞合关系、地区航空货运需求与运力缺口等因素，论证推导广州货运机场建设必要性。</w:t>
            </w:r>
          </w:p>
          <w:p>
            <w:pPr>
              <w:pStyle w:val="null3"/>
              <w:ind w:firstLine="480"/>
              <w:jc w:val="both"/>
            </w:pPr>
            <w:r>
              <w:rPr>
                <w:sz w:val="24"/>
              </w:rPr>
              <w:t>4</w:t>
            </w:r>
            <w:r>
              <w:rPr>
                <w:sz w:val="24"/>
              </w:rPr>
              <w:t>、广州货运机场功能定位及规模研究。</w:t>
            </w:r>
          </w:p>
          <w:p>
            <w:pPr>
              <w:pStyle w:val="null3"/>
              <w:ind w:firstLine="480"/>
              <w:jc w:val="both"/>
            </w:pPr>
            <w:r>
              <w:rPr>
                <w:sz w:val="24"/>
              </w:rPr>
              <w:t>结合广州及周边地区的经济社会发展需求和物流产业发展趋势，明确货运机场的功能定位。基于市场需求分析、区域经济发展等因素，预测货运机场的业务量需求，并确定机场跑道数量、停机坪面积、航站楼规模等关键参数，并进行土石方平衡分析研究。</w:t>
            </w:r>
          </w:p>
          <w:p>
            <w:pPr>
              <w:pStyle w:val="null3"/>
              <w:ind w:firstLine="480"/>
              <w:jc w:val="both"/>
            </w:pPr>
            <w:r>
              <w:rPr>
                <w:sz w:val="24"/>
              </w:rPr>
              <w:t>5</w:t>
            </w:r>
            <w:r>
              <w:rPr>
                <w:sz w:val="24"/>
              </w:rPr>
              <w:t>、广州货运机场可行性分析。</w:t>
            </w:r>
          </w:p>
          <w:p>
            <w:pPr>
              <w:pStyle w:val="null3"/>
              <w:ind w:firstLine="480"/>
              <w:jc w:val="both"/>
            </w:pPr>
            <w:r>
              <w:rPr>
                <w:sz w:val="24"/>
              </w:rPr>
              <w:t>分析广州及周边地区的空域资源情况，在满足空域的条件下提出若干处潜在选址。分析潜在选址区域的地形地貌、交通衔接等地面条件。同时，考虑土地征用、拆迁安置等因素，确定最佳选址方案。</w:t>
            </w:r>
          </w:p>
          <w:p>
            <w:pPr>
              <w:pStyle w:val="null3"/>
              <w:ind w:firstLine="480"/>
              <w:jc w:val="both"/>
            </w:pPr>
            <w:r>
              <w:rPr>
                <w:sz w:val="24"/>
              </w:rPr>
              <w:t>6</w:t>
            </w:r>
            <w:r>
              <w:rPr>
                <w:sz w:val="24"/>
              </w:rPr>
              <w:t>、临空产业概念规划。</w:t>
            </w:r>
          </w:p>
          <w:p>
            <w:pPr>
              <w:pStyle w:val="null3"/>
              <w:ind w:firstLine="480"/>
              <w:jc w:val="both"/>
            </w:pPr>
            <w:r>
              <w:rPr>
                <w:sz w:val="24"/>
              </w:rPr>
              <w:t>结合货运机场的功能定位和规模研究，规划临空产业园区的产业布局、空间结构和发展方向，促进临空产业与区域产业的协同发展。</w:t>
            </w:r>
          </w:p>
          <w:p>
            <w:pPr>
              <w:pStyle w:val="null3"/>
              <w:ind w:firstLine="480"/>
              <w:jc w:val="both"/>
            </w:pPr>
            <w:r>
              <w:rPr>
                <w:sz w:val="24"/>
              </w:rPr>
              <w:t>7</w:t>
            </w:r>
            <w:r>
              <w:rPr>
                <w:sz w:val="24"/>
              </w:rPr>
              <w:t>、机场集疏运体系规划。</w:t>
            </w:r>
          </w:p>
          <w:p>
            <w:pPr>
              <w:pStyle w:val="null3"/>
              <w:ind w:firstLine="480"/>
              <w:jc w:val="both"/>
            </w:pPr>
            <w:r>
              <w:rPr>
                <w:sz w:val="24"/>
              </w:rPr>
              <w:t>规划货运机场与周边道路和轨道网络的衔接方案，包括高速公路、城市道路、国家铁路、城际铁路等。</w:t>
            </w:r>
          </w:p>
          <w:p>
            <w:pPr>
              <w:pStyle w:val="null3"/>
              <w:ind w:firstLine="480"/>
              <w:jc w:val="both"/>
            </w:pPr>
            <w:r>
              <w:rPr>
                <w:sz w:val="24"/>
              </w:rPr>
              <w:t>8</w:t>
            </w:r>
            <w:r>
              <w:rPr>
                <w:sz w:val="24"/>
              </w:rPr>
              <w:t>、空间管控要求</w:t>
            </w:r>
          </w:p>
          <w:p>
            <w:pPr>
              <w:pStyle w:val="null3"/>
              <w:ind w:firstLine="480"/>
              <w:jc w:val="both"/>
            </w:pPr>
            <w:r>
              <w:rPr>
                <w:sz w:val="24"/>
              </w:rPr>
              <w:t>明确提出货运机场的空间管控要求，包括用地位置、范围、机场空域方案、机场周边净空障碍物控制要求等。</w:t>
            </w:r>
          </w:p>
          <w:p>
            <w:pPr>
              <w:pStyle w:val="null3"/>
              <w:ind w:firstLine="480"/>
              <w:jc w:val="both"/>
            </w:pPr>
            <w:r>
              <w:rPr>
                <w:sz w:val="24"/>
              </w:rPr>
              <w:t>9</w:t>
            </w:r>
            <w:r>
              <w:rPr>
                <w:sz w:val="24"/>
              </w:rPr>
              <w:t>、实施时机、路径及保障措施。</w:t>
            </w:r>
          </w:p>
          <w:p>
            <w:pPr>
              <w:pStyle w:val="null3"/>
              <w:ind w:firstLine="480"/>
              <w:jc w:val="both"/>
            </w:pPr>
            <w:r>
              <w:rPr>
                <w:sz w:val="24"/>
              </w:rPr>
              <w:t>提出货运机场规划建设实施路径，以及政策、资金、土地等方面的保障措施。</w:t>
            </w:r>
          </w:p>
          <w:p>
            <w:pPr>
              <w:pStyle w:val="null3"/>
              <w:ind w:firstLine="480"/>
              <w:jc w:val="both"/>
            </w:pPr>
            <w:r>
              <w:rPr>
                <w:sz w:val="24"/>
              </w:rPr>
              <w:t>形成“1+1”的成果体系，包括1份主报告，1份简本报告。其中主报告为项目完整分析成果，注重完整性；简本报告为项目核心成果，注重凝练性。</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2"/>
              <w:jc w:val="both"/>
            </w:pPr>
            <w:r>
              <w:rPr>
                <w:sz w:val="24"/>
              </w:rPr>
              <w:t>▲</w:t>
            </w:r>
            <w:r>
              <w:rPr>
                <w:sz w:val="24"/>
                <w:b/>
              </w:rPr>
              <w:t>五、人员团队要求</w:t>
            </w:r>
          </w:p>
          <w:p>
            <w:pPr>
              <w:pStyle w:val="null3"/>
              <w:ind w:firstLine="480"/>
              <w:jc w:val="both"/>
            </w:pPr>
            <w:r>
              <w:rPr>
                <w:sz w:val="24"/>
              </w:rPr>
              <w:t>投标人应为本项目成立项目团队，并明确项目负责人（1人）。基本要求如下：</w:t>
            </w:r>
          </w:p>
          <w:p>
            <w:pPr>
              <w:pStyle w:val="null3"/>
              <w:ind w:firstLine="480"/>
              <w:jc w:val="both"/>
            </w:pPr>
            <w:r>
              <w:rPr>
                <w:sz w:val="24"/>
              </w:rPr>
              <w:t>1</w:t>
            </w:r>
            <w:r>
              <w:rPr>
                <w:sz w:val="24"/>
              </w:rPr>
              <w:t>、项目负责人应具有高级工程师或以上职称。</w:t>
            </w:r>
          </w:p>
          <w:p>
            <w:pPr>
              <w:pStyle w:val="null3"/>
              <w:ind w:firstLine="480"/>
              <w:jc w:val="both"/>
            </w:pPr>
            <w:r>
              <w:rPr>
                <w:sz w:val="24"/>
              </w:rPr>
              <w:t>2</w:t>
            </w:r>
            <w:r>
              <w:rPr>
                <w:sz w:val="24"/>
              </w:rPr>
              <w:t>、项目团队主要成员（不含项目负责人）应不少于6人，专业配置合理，职责清晰。</w:t>
            </w:r>
          </w:p>
          <w:p>
            <w:pPr>
              <w:pStyle w:val="null3"/>
              <w:ind w:firstLine="480"/>
              <w:jc w:val="both"/>
            </w:pPr>
            <w:r>
              <w:rPr>
                <w:sz w:val="24"/>
              </w:rPr>
              <w:t>为了确保项目的履约及成果质量，投标人可以在上述基础上提供资质更高、经验更丰富的人员：项目负责人专业应为民航类相关专业，承担过同类项目业绩；项目团队主要成员具备民航类、交通类相关专业，中级（或高级或教授级（正）高级）工程师职称，具有相关工作经验。</w:t>
            </w:r>
          </w:p>
        </w:tc>
      </w:tr>
      <w:tr>
        <w:tc>
          <w:tcPr>
            <w:tcW w:type="dxa" w:w="2076"/>
          </w:tcPr>
          <w:p/>
        </w:tc>
        <w:tc>
          <w:tcPr>
            <w:tcW w:type="dxa" w:w="415"/>
          </w:tcPr>
          <w:p>
            <w:pPr>
              <w:pStyle w:val="null3"/>
            </w:pPr>
            <w:r>
              <w:rPr/>
              <w:t>6</w:t>
            </w:r>
          </w:p>
        </w:tc>
        <w:tc>
          <w:tcPr>
            <w:tcW w:type="dxa" w:w="5814"/>
          </w:tcPr>
          <w:p>
            <w:pPr>
              <w:pStyle w:val="null3"/>
              <w:ind w:firstLine="480"/>
              <w:jc w:val="both"/>
            </w:pPr>
            <w:r>
              <w:rPr>
                <w:sz w:val="24"/>
                <w:b/>
              </w:rPr>
              <w:t>六、成果提交要求</w:t>
            </w:r>
          </w:p>
          <w:p>
            <w:pPr>
              <w:pStyle w:val="null3"/>
              <w:ind w:firstLine="480"/>
              <w:jc w:val="both"/>
            </w:pPr>
            <w:r>
              <w:rPr>
                <w:sz w:val="24"/>
              </w:rPr>
              <w:t>1</w:t>
            </w:r>
            <w:r>
              <w:rPr>
                <w:sz w:val="24"/>
              </w:rPr>
              <w:t>、设计成果内容必须符合需求书中的设计原则、规划内容等有关章节的规定。</w:t>
            </w:r>
          </w:p>
          <w:p>
            <w:pPr>
              <w:pStyle w:val="null3"/>
              <w:ind w:firstLine="480"/>
              <w:jc w:val="both"/>
            </w:pPr>
            <w:r>
              <w:rPr>
                <w:sz w:val="24"/>
              </w:rPr>
              <w:t>2</w:t>
            </w:r>
            <w:r>
              <w:rPr>
                <w:sz w:val="24"/>
              </w:rPr>
              <w:t>、规划设计成果包括：规划文本、图纸和附件以及相对应的电子文件，符合入库标准。</w:t>
            </w:r>
          </w:p>
          <w:p>
            <w:pPr>
              <w:pStyle w:val="null3"/>
              <w:ind w:firstLine="480"/>
              <w:jc w:val="both"/>
            </w:pPr>
            <w:r>
              <w:rPr>
                <w:sz w:val="24"/>
              </w:rPr>
              <w:t>3</w:t>
            </w:r>
            <w:r>
              <w:rPr>
                <w:sz w:val="24"/>
              </w:rPr>
              <w:t>、成果深度：设计成果的深度必须符合需求书中的深度要求。</w:t>
            </w:r>
          </w:p>
          <w:p>
            <w:pPr>
              <w:pStyle w:val="null3"/>
              <w:ind w:firstLine="480"/>
              <w:jc w:val="both"/>
            </w:pPr>
            <w:r>
              <w:rPr>
                <w:sz w:val="24"/>
              </w:rPr>
              <w:t>4</w:t>
            </w:r>
            <w:r>
              <w:rPr>
                <w:sz w:val="24"/>
              </w:rPr>
              <w:t>、在各阶段成果等各阶段汇报交流后，应随即提交项目各阶段性方案的全部电子文件（CAD、PPT、JPG文件格式）。最终成果须提交A3规格的规划文本10套，同时提交全部成果的电子文件（CAD、GIS、JPG、DOC、PDF文件格式，符合入库标准、多媒体汇报文件）2套。</w:t>
            </w:r>
          </w:p>
          <w:p>
            <w:pPr>
              <w:pStyle w:val="null3"/>
              <w:ind w:firstLine="480"/>
              <w:jc w:val="both"/>
            </w:pPr>
            <w:r>
              <w:rPr>
                <w:sz w:val="24"/>
              </w:rPr>
              <w:t>5</w:t>
            </w:r>
            <w:r>
              <w:rPr>
                <w:sz w:val="24"/>
              </w:rPr>
              <w:t>、成果规范：交付的成果必须签署齐全，设计图纸和文本文件必须做到清晰、完整，尺寸齐全、准确，同类图纸规格应统一。</w:t>
            </w:r>
          </w:p>
          <w:p>
            <w:pPr>
              <w:pStyle w:val="null3"/>
              <w:ind w:firstLine="480"/>
              <w:jc w:val="both"/>
            </w:pPr>
          </w:p>
        </w:tc>
      </w:tr>
      <w:tr>
        <w:tc>
          <w:tcPr>
            <w:tcW w:type="dxa" w:w="2076"/>
          </w:tcPr>
          <w:p/>
        </w:tc>
        <w:tc>
          <w:tcPr>
            <w:tcW w:type="dxa" w:w="415"/>
          </w:tcPr>
          <w:p>
            <w:pPr>
              <w:pStyle w:val="null3"/>
            </w:pPr>
            <w:r>
              <w:rPr/>
              <w:t>7</w:t>
            </w:r>
          </w:p>
        </w:tc>
        <w:tc>
          <w:tcPr>
            <w:tcW w:type="dxa" w:w="5814"/>
          </w:tcPr>
          <w:p>
            <w:pPr>
              <w:pStyle w:val="null3"/>
              <w:ind w:firstLine="482"/>
              <w:jc w:val="both"/>
            </w:pPr>
            <w:r>
              <w:rPr>
                <w:sz w:val="24"/>
                <w:b/>
              </w:rPr>
              <w:t>七、规划成果的报送和审查</w:t>
            </w:r>
          </w:p>
          <w:p>
            <w:pPr>
              <w:pStyle w:val="null3"/>
              <w:ind w:firstLine="480"/>
              <w:jc w:val="both"/>
            </w:pPr>
            <w:r>
              <w:rPr>
                <w:sz w:val="24"/>
              </w:rPr>
              <w:t>1</w:t>
            </w:r>
            <w:r>
              <w:rPr>
                <w:sz w:val="24"/>
              </w:rPr>
              <w:t>、本项工作采取分阶段评审的方式，广州市规划和自然资源局负责组织审查工作。中标人负责审查所必须的汇报资料和进行研究方案介绍。</w:t>
            </w:r>
          </w:p>
          <w:p>
            <w:pPr>
              <w:pStyle w:val="null3"/>
              <w:ind w:firstLine="480"/>
              <w:jc w:val="both"/>
            </w:pPr>
            <w:r>
              <w:rPr>
                <w:sz w:val="24"/>
              </w:rPr>
              <w:t>2</w:t>
            </w:r>
            <w:r>
              <w:rPr>
                <w:sz w:val="24"/>
              </w:rPr>
              <w:t>、中标人必须于审查前5日派专人将规划成果送达广州市规划和自然资源局。</w:t>
            </w:r>
          </w:p>
          <w:p>
            <w:pPr>
              <w:pStyle w:val="null3"/>
              <w:ind w:firstLine="480"/>
              <w:jc w:val="both"/>
            </w:pPr>
            <w:r>
              <w:rPr>
                <w:sz w:val="24"/>
              </w:rPr>
              <w:t>3</w:t>
            </w:r>
            <w:r>
              <w:rPr>
                <w:sz w:val="24"/>
              </w:rPr>
              <w:t>、通过审查后，中标人应根据审查意见修改并按时提交审批成果。各阶段提交成果文本的数量与组织单位协商后确定。</w:t>
            </w:r>
          </w:p>
          <w:p>
            <w:pPr>
              <w:pStyle w:val="null3"/>
              <w:ind w:firstLine="480"/>
              <w:jc w:val="both"/>
            </w:pPr>
            <w:r>
              <w:rPr>
                <w:sz w:val="24"/>
              </w:rPr>
              <w:t>4</w:t>
            </w:r>
            <w:r>
              <w:rPr>
                <w:sz w:val="24"/>
              </w:rPr>
              <w:t>、提交的正式规划成果必须在成果报告上加注委托单位名称、技术协调单位名称、中标人名称及法人代表、项目负责人和设计人员名单及加盖中标人公章。</w:t>
            </w:r>
          </w:p>
        </w:tc>
      </w:tr>
      <w:tr>
        <w:tc>
          <w:tcPr>
            <w:tcW w:type="dxa" w:w="2076"/>
          </w:tcPr>
          <w:p/>
        </w:tc>
        <w:tc>
          <w:tcPr>
            <w:tcW w:type="dxa" w:w="415"/>
          </w:tcPr>
          <w:p>
            <w:pPr>
              <w:pStyle w:val="null3"/>
            </w:pPr>
            <w:r>
              <w:rPr/>
              <w:t>8</w:t>
            </w:r>
          </w:p>
        </w:tc>
        <w:tc>
          <w:tcPr>
            <w:tcW w:type="dxa" w:w="5814"/>
          </w:tcPr>
          <w:p>
            <w:pPr>
              <w:pStyle w:val="null3"/>
              <w:ind w:firstLine="482"/>
              <w:jc w:val="both"/>
            </w:pPr>
            <w:r>
              <w:rPr>
                <w:sz w:val="24"/>
                <w:b/>
              </w:rPr>
              <w:t>八、附则</w:t>
            </w:r>
          </w:p>
          <w:p>
            <w:pPr>
              <w:pStyle w:val="null3"/>
              <w:ind w:firstLine="480"/>
              <w:jc w:val="both"/>
            </w:pPr>
            <w:r>
              <w:rPr>
                <w:sz w:val="24"/>
              </w:rPr>
              <w:t>1</w:t>
            </w:r>
            <w:r>
              <w:rPr>
                <w:sz w:val="24"/>
              </w:rPr>
              <w:t>、本研究署名权版权归采购人所有；采购人有权在规划制定后公开展示规划成果，并通过传播、媒介、专业杂志、书刊或其它形式介绍、展示规划方案。中标人未经采购人允许，不得以任何形式公开或截取公开本研究成果。</w:t>
            </w:r>
          </w:p>
          <w:p>
            <w:pPr>
              <w:pStyle w:val="null3"/>
              <w:ind w:firstLine="480"/>
              <w:jc w:val="both"/>
            </w:pPr>
            <w:r>
              <w:rPr>
                <w:sz w:val="24"/>
              </w:rPr>
              <w:t>2</w:t>
            </w:r>
            <w:r>
              <w:rPr>
                <w:sz w:val="24"/>
              </w:rPr>
              <w:t>、中标人如对本任务书有疑问，应在接到任务书后以书面形式提出，组织单位在收到意见后将以电子邮件或书面形式作出答复。</w:t>
            </w:r>
          </w:p>
          <w:p>
            <w:pPr>
              <w:pStyle w:val="null3"/>
              <w:ind w:firstLine="480"/>
              <w:jc w:val="both"/>
            </w:pPr>
            <w:r>
              <w:rPr>
                <w:sz w:val="24"/>
              </w:rPr>
              <w:t>3</w:t>
            </w:r>
            <w:r>
              <w:rPr>
                <w:sz w:val="24"/>
              </w:rPr>
              <w:t>、中标人所提交的规划成果有下列情形之一的视为成果无效，按技术服务合同规定承担相应责任。</w:t>
            </w:r>
          </w:p>
          <w:p>
            <w:pPr>
              <w:pStyle w:val="null3"/>
              <w:ind w:firstLine="480"/>
              <w:jc w:val="both"/>
            </w:pPr>
            <w:r>
              <w:rPr>
                <w:sz w:val="24"/>
              </w:rPr>
              <w:t>（1）提交的研究成果不符合本任务书规定的；</w:t>
            </w:r>
          </w:p>
          <w:p>
            <w:pPr>
              <w:pStyle w:val="null3"/>
              <w:ind w:firstLine="480"/>
              <w:jc w:val="both"/>
            </w:pPr>
            <w:r>
              <w:rPr>
                <w:sz w:val="24"/>
              </w:rPr>
              <w:t>（2）提交的图纸和文字辨认不清，内容不全或粗制滥造的；</w:t>
            </w:r>
          </w:p>
          <w:p>
            <w:pPr>
              <w:pStyle w:val="null3"/>
              <w:ind w:firstLine="480"/>
              <w:jc w:val="both"/>
            </w:pPr>
            <w:r>
              <w:rPr>
                <w:sz w:val="24"/>
              </w:rPr>
              <w:t>（3）未经组织单位同意逾期上报研究成果的；</w:t>
            </w:r>
          </w:p>
          <w:p>
            <w:pPr>
              <w:pStyle w:val="null3"/>
              <w:ind w:firstLine="480"/>
              <w:jc w:val="both"/>
            </w:pPr>
            <w:r>
              <w:rPr>
                <w:sz w:val="24"/>
              </w:rPr>
              <w:t>（4）本规划任务书解释权归广州市规划和自然资源局所有。</w:t>
            </w:r>
          </w:p>
        </w:tc>
      </w:tr>
      <w:tr>
        <w:tc>
          <w:tcPr>
            <w:tcW w:type="dxa" w:w="2076"/>
          </w:tcPr>
          <w:p/>
        </w:tc>
        <w:tc>
          <w:tcPr>
            <w:tcW w:type="dxa" w:w="415"/>
          </w:tcPr>
          <w:p>
            <w:pPr>
              <w:pStyle w:val="null3"/>
            </w:pPr>
            <w:r>
              <w:rPr/>
              <w:t>9</w:t>
            </w:r>
          </w:p>
        </w:tc>
        <w:tc>
          <w:tcPr>
            <w:tcW w:type="dxa" w:w="5814"/>
          </w:tcPr>
          <w:p>
            <w:pPr>
              <w:pStyle w:val="null3"/>
              <w:ind w:firstLine="482"/>
              <w:jc w:val="both"/>
            </w:pPr>
            <w:r>
              <w:rPr>
                <w:sz w:val="24"/>
                <w:b/>
              </w:rPr>
              <w:t>九、其他要求</w:t>
            </w:r>
          </w:p>
          <w:p>
            <w:pPr>
              <w:pStyle w:val="null3"/>
              <w:ind w:firstLine="480"/>
              <w:jc w:val="both"/>
            </w:pPr>
            <w:r>
              <w:rPr>
                <w:sz w:val="24"/>
              </w:rPr>
              <w:t>1</w:t>
            </w:r>
            <w:r>
              <w:rPr>
                <w:sz w:val="24"/>
              </w:rPr>
              <w:t>、本项目前期要求</w:t>
            </w:r>
          </w:p>
          <w:p>
            <w:pPr>
              <w:pStyle w:val="null3"/>
              <w:ind w:firstLine="480"/>
              <w:jc w:val="both"/>
            </w:pPr>
            <w:r>
              <w:rPr>
                <w:sz w:val="24"/>
              </w:rPr>
              <w:t>投标人需要充分理解和掌握项目背景、工作目标、工作任务、工作范围的项目涉及的政策规范等，并对此进行分析，明确本项目的工作目标，为保障项目的成果质量提供支持。</w:t>
            </w:r>
          </w:p>
          <w:p>
            <w:pPr>
              <w:pStyle w:val="null3"/>
              <w:ind w:firstLine="480"/>
              <w:jc w:val="both"/>
            </w:pPr>
            <w:r>
              <w:rPr>
                <w:sz w:val="24"/>
              </w:rPr>
              <w:t>投标人根据项目情况提供相关工作基础情况，包括但不限于：①城市现状、②交通现状、③航空发展现状、④项目涉及的政策规范等现状情况。</w:t>
            </w:r>
          </w:p>
          <w:p>
            <w:pPr>
              <w:pStyle w:val="null3"/>
              <w:ind w:firstLine="480"/>
              <w:jc w:val="both"/>
            </w:pPr>
            <w:r>
              <w:rPr>
                <w:sz w:val="24"/>
              </w:rPr>
              <w:t>2</w:t>
            </w:r>
            <w:r>
              <w:rPr>
                <w:sz w:val="24"/>
              </w:rPr>
              <w:t>、技术要求</w:t>
            </w:r>
          </w:p>
          <w:p>
            <w:pPr>
              <w:pStyle w:val="null3"/>
              <w:ind w:firstLine="480"/>
              <w:jc w:val="both"/>
            </w:pPr>
            <w:r>
              <w:rPr>
                <w:sz w:val="24"/>
              </w:rPr>
              <w:t>符合《中华人民共和国城乡规划法》等现行的国家和地方有关法律、法规以及相关规范的技术要求。</w:t>
            </w:r>
          </w:p>
          <w:p>
            <w:pPr>
              <w:pStyle w:val="null3"/>
              <w:ind w:firstLine="480"/>
              <w:jc w:val="both"/>
            </w:pPr>
            <w:r>
              <w:rPr>
                <w:sz w:val="24"/>
              </w:rPr>
              <w:t>3</w:t>
            </w:r>
            <w:r>
              <w:rPr>
                <w:sz w:val="24"/>
              </w:rPr>
              <w:t>、项目重点、难点</w:t>
            </w:r>
          </w:p>
          <w:p>
            <w:pPr>
              <w:pStyle w:val="null3"/>
              <w:ind w:firstLine="480"/>
              <w:jc w:val="both"/>
            </w:pPr>
            <w:r>
              <w:rPr>
                <w:sz w:val="24"/>
              </w:rPr>
              <w:t>本项目为响应国家关于航空货运发展要求，助力广州制造业立市，需开展广州市货运机场选址研究工作。因此，广州市规划和自然资源局计划组织开展《广州市货运机场选址及临空产业园区交通支撑体系规划研究》编制工作，投标人需就本项目的重点、难点问题进行分析，并明确工作思路及解决措施。</w:t>
            </w:r>
          </w:p>
          <w:p>
            <w:pPr>
              <w:pStyle w:val="null3"/>
              <w:ind w:firstLine="480"/>
              <w:jc w:val="both"/>
            </w:pPr>
            <w:r>
              <w:rPr>
                <w:sz w:val="24"/>
              </w:rPr>
              <w:t>4</w:t>
            </w:r>
            <w:r>
              <w:rPr>
                <w:sz w:val="24"/>
              </w:rPr>
              <w:t>、工作时间计划和质量保障措施</w:t>
            </w:r>
          </w:p>
          <w:p>
            <w:pPr>
              <w:pStyle w:val="null3"/>
              <w:ind w:firstLine="480"/>
              <w:jc w:val="both"/>
            </w:pPr>
            <w:r>
              <w:rPr>
                <w:sz w:val="24"/>
              </w:rPr>
              <w:t>（1）工期计划：包括前期工作阶段、初步成果阶段、中期成果阶段和最终成果阶段。（注：上述各阶段工作时间具体以实际开展情况为准）。</w:t>
            </w:r>
          </w:p>
          <w:p>
            <w:pPr>
              <w:pStyle w:val="null3"/>
              <w:ind w:firstLine="480"/>
              <w:jc w:val="both"/>
            </w:pPr>
            <w:r>
              <w:rPr>
                <w:sz w:val="24"/>
              </w:rPr>
              <w:t>（2）质量保障措施：</w:t>
            </w:r>
          </w:p>
          <w:p>
            <w:pPr>
              <w:pStyle w:val="null3"/>
              <w:ind w:firstLine="480"/>
              <w:jc w:val="both"/>
            </w:pPr>
            <w:r>
              <w:rPr>
                <w:sz w:val="24"/>
              </w:rPr>
              <w:t>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w:t>
            </w:r>
          </w:p>
          <w:p>
            <w:pPr>
              <w:pStyle w:val="null3"/>
              <w:ind w:firstLine="480"/>
              <w:jc w:val="both"/>
            </w:pPr>
            <w:r>
              <w:rPr>
                <w:sz w:val="24"/>
              </w:rPr>
              <w:t>制定对规划长期跟踪研究的服务方案，及时发现规划实施过程中出现的问题，反馈并提出调整建议，对规划项目进行必要优化，为规划的优化和完善提供专业的技术支持和建议。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城维计划-综合交通规划编制经费（子项12：广州市货运机场选址及临空产业园区交通支撑体系规划研究）)：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采购包1（城维计划-综合交通规划编制经费（子项12：广州市货运机场选址及临空产业园区交通支撑体系规划研究））：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采购包1（城维计划-综合交通规划编制经费（子项12：广州市货运机场选址及临空产业园区交通支撑体系规划研究））：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联合体成员不得超过2家。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整体专门面向中小企业采购。投标人须符合本项目采购标的对应行业（本项目行业为：其他未列明行业）的政策划分标准的中小微企业。监狱企业、残疾人福利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采购包1（城维计划-综合交通规划编制经费（子项12：广州市货运机场选址及临空产业园区交通支撑体系规划研究））：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采购包1(城维计划-综合交通规划编制经费（子项12：广州市货运机场选址及临空产业园区交通支撑体系规划研究）):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对项目的熟悉程度A (2.0分)</w:t>
            </w:r>
          </w:p>
        </w:tc>
        <w:tc>
          <w:tcPr>
            <w:tcW w:type="dxa" w:w="5076"/>
          </w:tcPr>
          <w:p>
            <w:pPr>
              <w:pStyle w:val="null3"/>
              <w:jc w:val="left"/>
            </w:pPr>
            <w:r>
              <w:rPr/>
              <w:t>根据采购需求中的项目背景，投标人提供对本项目理解情况，内容包括但不限于：①项目背景；②工作目标；③工作任务；④任务深度。能提供以上内容的，得2分；如未提供或提供不完整，则本项及“对项目的熟悉程度B”均不得分。</w:t>
            </w:r>
          </w:p>
        </w:tc>
      </w:tr>
      <w:tr>
        <w:tc>
          <w:tcPr>
            <w:tcW w:type="dxa" w:w="922"/>
            <w:gridSpan w:val="2"/>
            <w:vMerge/>
          </w:tcPr>
          <w:p/>
        </w:tc>
        <w:tc>
          <w:tcPr>
            <w:tcW w:type="dxa" w:w="2307"/>
          </w:tcPr>
          <w:p>
            <w:pPr>
              <w:pStyle w:val="null3"/>
              <w:jc w:val="left"/>
            </w:pPr>
            <w:r>
              <w:rPr/>
              <w:t>对项目的熟悉程度B (4.0分)</w:t>
            </w:r>
            <w:r>
              <w:rPr/>
              <w:t>，（等次分值选择：</w:t>
            </w:r>
            <w:r>
              <w:rPr/>
              <w:t>0.0;</w:t>
            </w:r>
            <w:r>
              <w:rPr/>
              <w:t>1.0;</w:t>
            </w:r>
            <w:r>
              <w:rPr/>
              <w:t>2.0;</w:t>
            </w:r>
            <w:r>
              <w:rPr/>
              <w:t>4.0;</w:t>
            </w:r>
            <w:r>
              <w:rPr/>
              <w:t>）</w:t>
            </w:r>
          </w:p>
        </w:tc>
        <w:tc>
          <w:tcPr>
            <w:tcW w:type="dxa" w:w="5076"/>
          </w:tcPr>
          <w:p>
            <w:pPr>
              <w:pStyle w:val="null3"/>
              <w:jc w:val="left"/>
            </w:pPr>
            <w:r>
              <w:rPr/>
              <w:t>在符合“对项目的熟悉程度A”的基础上，对投标人提供的对项目的熟悉程度进行详细评审： 1.投标人充分理解和掌握项目背景、工作目标、工作任务、任务深度等内容，内容要点突出，特色鲜明的，完全满足且优于采购需求，得4分； 2.投标人能理解和掌握项目背景、工作目标、工作任务、任务深度等内容，内容比较突出的，满足采购需求，得2分； 3.投标人部分或不完全理解和掌握项目背景、工作目标、工作任务、任务深度等内容，部分满足采购需求，得1分； 4.其它或没有提供方案，得0分。</w:t>
            </w:r>
          </w:p>
        </w:tc>
      </w:tr>
      <w:tr>
        <w:tc>
          <w:tcPr>
            <w:tcW w:type="dxa" w:w="922"/>
            <w:gridSpan w:val="2"/>
            <w:vMerge/>
          </w:tcPr>
          <w:p/>
        </w:tc>
        <w:tc>
          <w:tcPr>
            <w:tcW w:type="dxa" w:w="2307"/>
          </w:tcPr>
          <w:p>
            <w:pPr>
              <w:pStyle w:val="null3"/>
              <w:jc w:val="left"/>
            </w:pPr>
            <w:r>
              <w:rPr/>
              <w:t>对项目现状情况的掌握理解A (4.0分)</w:t>
            </w:r>
          </w:p>
        </w:tc>
        <w:tc>
          <w:tcPr>
            <w:tcW w:type="dxa" w:w="5076"/>
          </w:tcPr>
          <w:p>
            <w:pPr>
              <w:pStyle w:val="null3"/>
              <w:jc w:val="left"/>
            </w:pPr>
            <w:r>
              <w:rPr/>
              <w:t>根据采购需求中的工作范围及内容，投标人提供对项目现状情况的理解，内容包括但不限于：①城市现状；②交通现状；③航空发展现状；④项目涉及的政策规范等现状情况。能提供以上内容的，得4分；如未提供或提供不完整，则本项及“对项目现状情况的掌握理解B”均不得分。</w:t>
            </w:r>
          </w:p>
        </w:tc>
      </w:tr>
      <w:tr>
        <w:tc>
          <w:tcPr>
            <w:tcW w:type="dxa" w:w="922"/>
            <w:gridSpan w:val="2"/>
            <w:vMerge/>
          </w:tcPr>
          <w:p/>
        </w:tc>
        <w:tc>
          <w:tcPr>
            <w:tcW w:type="dxa" w:w="2307"/>
          </w:tcPr>
          <w:p>
            <w:pPr>
              <w:pStyle w:val="null3"/>
              <w:jc w:val="left"/>
            </w:pPr>
            <w:r>
              <w:rPr/>
              <w:t>对项目现状情况的掌握理解B (4.0分)</w:t>
            </w:r>
            <w:r>
              <w:rPr/>
              <w:t>，（等次分值选择：</w:t>
            </w:r>
            <w:r>
              <w:rPr/>
              <w:t>0.0;</w:t>
            </w:r>
            <w:r>
              <w:rPr/>
              <w:t>1.0;</w:t>
            </w:r>
            <w:r>
              <w:rPr/>
              <w:t>3.0;</w:t>
            </w:r>
            <w:r>
              <w:rPr/>
              <w:t>4.0;</w:t>
            </w:r>
            <w:r>
              <w:rPr/>
              <w:t>）</w:t>
            </w:r>
          </w:p>
        </w:tc>
        <w:tc>
          <w:tcPr>
            <w:tcW w:type="dxa" w:w="5076"/>
          </w:tcPr>
          <w:p>
            <w:pPr>
              <w:pStyle w:val="null3"/>
              <w:jc w:val="left"/>
            </w:pPr>
            <w:r>
              <w:rPr/>
              <w:t>在符合“对项目现状情况的掌握理解A”的基础上，对投标人提供的对项目现状情况的掌握理解进行详细评审：1.投标人充分掌握项目现状情况，对城市现状、交通现状、航空发展现状、项目涉及的政策规范等现状内容分析详细、准确，数据详实的，完全满足且优于采购需求，得4分； 2.投标人掌握项目现状情况，对城市现状、交通现状、航空发展现状、项目涉及的政策规范等现状内容分析较为准确，满足采购需求，得3分； 3.投标人掌握部分项目现状情况，对城市现状、交通现状、航空发展现状、项目涉及的政策规范等现状内容分析部分准确或不太清晰的，部分满足采购需求，得1分； 4.其它或没有提供方案，得0分。</w:t>
            </w:r>
          </w:p>
        </w:tc>
      </w:tr>
      <w:tr>
        <w:tc>
          <w:tcPr>
            <w:tcW w:type="dxa" w:w="922"/>
            <w:gridSpan w:val="2"/>
            <w:vMerge/>
          </w:tcPr>
          <w:p/>
        </w:tc>
        <w:tc>
          <w:tcPr>
            <w:tcW w:type="dxa" w:w="2307"/>
          </w:tcPr>
          <w:p>
            <w:pPr>
              <w:pStyle w:val="null3"/>
              <w:jc w:val="left"/>
            </w:pPr>
            <w:r>
              <w:rPr/>
              <w:t>项目技术路线和工作思路A (2.0分)</w:t>
            </w:r>
          </w:p>
        </w:tc>
        <w:tc>
          <w:tcPr>
            <w:tcW w:type="dxa" w:w="5076"/>
          </w:tcPr>
          <w:p>
            <w:pPr>
              <w:pStyle w:val="null3"/>
              <w:jc w:val="left"/>
            </w:pPr>
            <w:r>
              <w:rPr/>
              <w:t>根据采购需求中的编制原则及编制内容，投标人提供的项目技术路线和工作思路，内容包括但不限于：①工作思路；②技术路线；③技术手段；④工作分工。能提供以上内容的，得2分；如未提供或提供不完整，则本项及“项目技术路线和工作思路B”均不得分。</w:t>
            </w:r>
          </w:p>
        </w:tc>
      </w:tr>
      <w:tr>
        <w:tc>
          <w:tcPr>
            <w:tcW w:type="dxa" w:w="922"/>
            <w:gridSpan w:val="2"/>
            <w:vMerge/>
          </w:tcPr>
          <w:p/>
        </w:tc>
        <w:tc>
          <w:tcPr>
            <w:tcW w:type="dxa" w:w="2307"/>
          </w:tcPr>
          <w:p>
            <w:pPr>
              <w:pStyle w:val="null3"/>
              <w:jc w:val="left"/>
            </w:pPr>
            <w:r>
              <w:rPr/>
              <w:t>项目技术路线和工作思路B (4.0分)</w:t>
            </w:r>
            <w:r>
              <w:rPr/>
              <w:t>，（等次分值选择：</w:t>
            </w:r>
            <w:r>
              <w:rPr/>
              <w:t>0.0;</w:t>
            </w:r>
            <w:r>
              <w:rPr/>
              <w:t>1.0;</w:t>
            </w:r>
            <w:r>
              <w:rPr/>
              <w:t>2.0;</w:t>
            </w:r>
            <w:r>
              <w:rPr/>
              <w:t>4.0;</w:t>
            </w:r>
            <w:r>
              <w:rPr/>
              <w:t>）</w:t>
            </w:r>
          </w:p>
        </w:tc>
        <w:tc>
          <w:tcPr>
            <w:tcW w:type="dxa" w:w="5076"/>
          </w:tcPr>
          <w:p>
            <w:pPr>
              <w:pStyle w:val="null3"/>
              <w:jc w:val="left"/>
            </w:pPr>
            <w:r>
              <w:rPr/>
              <w:t>在符合“项目技术路线和工作思路A”的基础上，对投标人提供的项目技术路线和工作思路进行详细评审： 1.项目技术路线和工作思路详细完整且重点突出，准备采取的技术手段明确，能提供具体步骤及解决关键性问题的方法，工作分工明确，完全满足且优于采购需求，得4分； 2.项目技术路线和工作思路基本完整，准备采取的技术手段基本明确，能提供相关的步骤及解决关键性问题的方法，工作分工基本明确，满足采购需求，得2分； 3.项目技术路线和工作思路不够完整、内容简单，准备采取的技术手段不明确，能提供简单的步骤，有工作分工，部分满足采购需求，得1分； 4.其它或没有提供方案，得0分。</w:t>
            </w:r>
          </w:p>
        </w:tc>
      </w:tr>
      <w:tr>
        <w:tc>
          <w:tcPr>
            <w:tcW w:type="dxa" w:w="922"/>
            <w:gridSpan w:val="2"/>
            <w:vMerge/>
          </w:tcPr>
          <w:p/>
        </w:tc>
        <w:tc>
          <w:tcPr>
            <w:tcW w:type="dxa" w:w="2307"/>
          </w:tcPr>
          <w:p>
            <w:pPr>
              <w:pStyle w:val="null3"/>
              <w:jc w:val="left"/>
            </w:pPr>
            <w:r>
              <w:rPr/>
              <w:t>对项目重点、难点的理解和分析A (4.0分)</w:t>
            </w:r>
          </w:p>
        </w:tc>
        <w:tc>
          <w:tcPr>
            <w:tcW w:type="dxa" w:w="5076"/>
          </w:tcPr>
          <w:p>
            <w:pPr>
              <w:pStyle w:val="null3"/>
              <w:jc w:val="left"/>
            </w:pPr>
            <w:r>
              <w:rPr/>
              <w:t>投标人根据本项目的需求内容进行重点、难点问题分析与工作思路阐述方案进行评审，方案需包含①项目重难点问题的分析；②如何应对重难点的工作思路。能提供以上内容的，得4分；如未提供或提供不完整，则本项及“对项目重点、难点的理解和分析B”均不得分。</w:t>
            </w:r>
          </w:p>
        </w:tc>
      </w:tr>
      <w:tr>
        <w:tc>
          <w:tcPr>
            <w:tcW w:type="dxa" w:w="922"/>
            <w:gridSpan w:val="2"/>
            <w:vMerge/>
          </w:tcPr>
          <w:p/>
        </w:tc>
        <w:tc>
          <w:tcPr>
            <w:tcW w:type="dxa" w:w="2307"/>
          </w:tcPr>
          <w:p>
            <w:pPr>
              <w:pStyle w:val="null3"/>
              <w:jc w:val="left"/>
            </w:pPr>
            <w:r>
              <w:rPr/>
              <w:t>对项目重点、难点的理解和分析B (9.0分)</w:t>
            </w:r>
            <w:r>
              <w:rPr/>
              <w:t>，（等次分值选择：</w:t>
            </w:r>
            <w:r>
              <w:rPr/>
              <w:t>0.0;</w:t>
            </w:r>
            <w:r>
              <w:rPr/>
              <w:t>3.0;</w:t>
            </w:r>
            <w:r>
              <w:rPr/>
              <w:t>6.0;</w:t>
            </w:r>
            <w:r>
              <w:rPr/>
              <w:t>9.0;</w:t>
            </w:r>
            <w:r>
              <w:rPr/>
              <w:t>）</w:t>
            </w:r>
          </w:p>
        </w:tc>
        <w:tc>
          <w:tcPr>
            <w:tcW w:type="dxa" w:w="5076"/>
          </w:tcPr>
          <w:p>
            <w:pPr>
              <w:pStyle w:val="null3"/>
              <w:jc w:val="left"/>
            </w:pPr>
            <w:r>
              <w:rPr/>
              <w:t>在符合“对项目重点、难点的理解和分析A”的基础上，对投标人提供的对项目重点、难点的理解和分析进行详细评审： 1.重难点分析合理，应对思路清晰合理，贴合项目情况的，得9分； 2.重难点分析较合理，应对思路较清晰合理，较贴合项目情况的，得6分； 3.重难点分析与项目存在偏差，应对思路不合理，不贴合项目情况的，得3分； 4.无提供或其他不得分。</w:t>
            </w:r>
          </w:p>
        </w:tc>
      </w:tr>
      <w:tr>
        <w:tc>
          <w:tcPr>
            <w:tcW w:type="dxa" w:w="922"/>
            <w:gridSpan w:val="2"/>
            <w:vMerge/>
          </w:tcPr>
          <w:p/>
        </w:tc>
        <w:tc>
          <w:tcPr>
            <w:tcW w:type="dxa" w:w="2307"/>
          </w:tcPr>
          <w:p>
            <w:pPr>
              <w:pStyle w:val="null3"/>
              <w:jc w:val="left"/>
            </w:pPr>
            <w:r>
              <w:rPr/>
              <w:t>工作方案A (4.0分)</w:t>
            </w:r>
          </w:p>
        </w:tc>
        <w:tc>
          <w:tcPr>
            <w:tcW w:type="dxa" w:w="5076"/>
          </w:tcPr>
          <w:p>
            <w:pPr>
              <w:pStyle w:val="null3"/>
              <w:jc w:val="left"/>
            </w:pPr>
            <w:r>
              <w:rPr/>
              <w:t>根据采购需求中的编制内容要求，投标人提供工作方案，内容包括但不限于：①货运机场选址；②货运机场功能定位及规模研究；③临空产业概念规划；④机场集疏运体系规划。能提供以上内容的，得4分；如未提供或提供不完整，则本项及“工作方案B”均不得分。</w:t>
            </w:r>
          </w:p>
        </w:tc>
      </w:tr>
      <w:tr>
        <w:tc>
          <w:tcPr>
            <w:tcW w:type="dxa" w:w="922"/>
            <w:gridSpan w:val="2"/>
            <w:vMerge/>
          </w:tcPr>
          <w:p/>
        </w:tc>
        <w:tc>
          <w:tcPr>
            <w:tcW w:type="dxa" w:w="2307"/>
          </w:tcPr>
          <w:p>
            <w:pPr>
              <w:pStyle w:val="null3"/>
              <w:jc w:val="left"/>
            </w:pPr>
            <w:r>
              <w:rPr/>
              <w:t>工作方案B (8.0分)</w:t>
            </w:r>
            <w:r>
              <w:rPr/>
              <w:t>，（等次分值选择：</w:t>
            </w:r>
            <w:r>
              <w:rPr/>
              <w:t>0.0;</w:t>
            </w:r>
            <w:r>
              <w:rPr/>
              <w:t>2.0;</w:t>
            </w:r>
            <w:r>
              <w:rPr/>
              <w:t>5.0;</w:t>
            </w:r>
            <w:r>
              <w:rPr/>
              <w:t>8.0;</w:t>
            </w:r>
            <w:r>
              <w:rPr/>
              <w:t>）</w:t>
            </w:r>
          </w:p>
        </w:tc>
        <w:tc>
          <w:tcPr>
            <w:tcW w:type="dxa" w:w="5076"/>
          </w:tcPr>
          <w:p>
            <w:pPr>
              <w:pStyle w:val="null3"/>
              <w:jc w:val="left"/>
            </w:pPr>
            <w:r>
              <w:rPr/>
              <w:t>在符合“工作方案A”的基础上，对投标人提供的工作方案进行详细评审： 1.工作方案能体现采购需求的目标、全部工作要求和内容，研究思路清晰，方案科学合理，具有较强的可实施性，完全满足且优于采购需求，得8分； 2.工作方案基本能体现采购需求的目标和原则，研究思路合理可行，方案较为准确，满足采购需求，得5分； 3.工作方案能部分体现采购需求的目标和原则，研究思路基本合理，方案简单的，部分满足采购需求，得2分； 4.其它或没有提供方案，得0分。</w:t>
            </w:r>
          </w:p>
        </w:tc>
      </w:tr>
      <w:tr>
        <w:tc>
          <w:tcPr>
            <w:tcW w:type="dxa" w:w="922"/>
            <w:gridSpan w:val="2"/>
            <w:vMerge/>
          </w:tcPr>
          <w:p/>
        </w:tc>
        <w:tc>
          <w:tcPr>
            <w:tcW w:type="dxa" w:w="2307"/>
          </w:tcPr>
          <w:p>
            <w:pPr>
              <w:pStyle w:val="null3"/>
              <w:jc w:val="left"/>
            </w:pPr>
            <w:r>
              <w:rPr/>
              <w:t>工作时间计划和质量保障措施A (2.0分)</w:t>
            </w:r>
          </w:p>
        </w:tc>
        <w:tc>
          <w:tcPr>
            <w:tcW w:type="dxa" w:w="5076"/>
          </w:tcPr>
          <w:p>
            <w:pPr>
              <w:pStyle w:val="null3"/>
              <w:jc w:val="left"/>
            </w:pPr>
            <w:r>
              <w:rPr/>
              <w:t>根据采购需求中的工作时间计划、成果提交要求和规划成果的报送和审查要求，投标人提供的工作时间计划和质量保障措施，内容包括但不限于：①进度计划；②质量和技术保障措施。能提供以上内容的，得2分；如未提供或提供不完整，则本项及“工作时间计划和质量保障措施B”均不得分。</w:t>
            </w:r>
          </w:p>
        </w:tc>
      </w:tr>
      <w:tr>
        <w:tc>
          <w:tcPr>
            <w:tcW w:type="dxa" w:w="922"/>
            <w:gridSpan w:val="2"/>
            <w:vMerge/>
          </w:tcPr>
          <w:p/>
        </w:tc>
        <w:tc>
          <w:tcPr>
            <w:tcW w:type="dxa" w:w="2307"/>
          </w:tcPr>
          <w:p>
            <w:pPr>
              <w:pStyle w:val="null3"/>
              <w:jc w:val="left"/>
            </w:pPr>
            <w:r>
              <w:rPr/>
              <w:t>工作时间计划和质量保障措施 B (3.0分)</w:t>
            </w:r>
            <w:r>
              <w:rPr/>
              <w:t>，（等次分值选择：</w:t>
            </w:r>
            <w:r>
              <w:rPr/>
              <w:t>0.0;</w:t>
            </w:r>
            <w:r>
              <w:rPr/>
              <w:t>1.0;</w:t>
            </w:r>
            <w:r>
              <w:rPr/>
              <w:t>2.0;</w:t>
            </w:r>
            <w:r>
              <w:rPr/>
              <w:t>3.0;</w:t>
            </w:r>
            <w:r>
              <w:rPr/>
              <w:t>）</w:t>
            </w:r>
          </w:p>
        </w:tc>
        <w:tc>
          <w:tcPr>
            <w:tcW w:type="dxa" w:w="5076"/>
          </w:tcPr>
          <w:p>
            <w:pPr>
              <w:pStyle w:val="null3"/>
              <w:jc w:val="left"/>
            </w:pPr>
            <w:r>
              <w:rPr/>
              <w:t>在符合“工作时间计划和质量保障措施A”的基础上，对投标人提供的工作时间计划和质量保障措施进行详细评审： 1.投标人能提供详细明确的项目工作时间安排，有设定明确的实施计划流程，每个工作节点衔接顺畅，质量保障措施和保密措施完整，目标明确，能提供详细的质量和保密控制过程所使用的方法、风险预防和应对措施，完全满足且优于采购需求，得3分； 2.投标人制定项目工作时间安排、实施计划流程和工作计划简单，质量保障措施和保密措施基本完整，目标基本明确，能提供简单的质量和保密控制过程所使用的方法、风险预防和应对措施，满足采购需求，得2分； 3.投标人制定项目工作时间安排、实施计划流程和工作计划有缺漏，质量保障措施和保密措施简单，能提供简单的质量和保密控制过程所使用的方法，部分满足采购需求，得1分； 4.其它或没有提供方案，得0分。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自2019年1月1日至今同类项目业绩 (8.0分)</w:t>
            </w:r>
          </w:p>
        </w:tc>
        <w:tc>
          <w:tcPr>
            <w:tcW w:type="dxa" w:w="5076"/>
          </w:tcPr>
          <w:p>
            <w:pPr>
              <w:pStyle w:val="null3"/>
              <w:jc w:val="left"/>
            </w:pPr>
            <w:r>
              <w:rPr/>
              <w:t>投标人2019年1月1日（以合同签订时间为准）至今，承接过同类项目业绩（含机场选址、机场布局规划研究、机场交通规划，不含机场控制性详细规划或调整），每提供一项得2分，最高得8分。 注： 需提供合同关键页（含签订合同双方的单位名称、合同项目名称与含签订合同双方的落款盖章、签订日期的关键页）扫描件，否则无效。</w:t>
            </w:r>
          </w:p>
        </w:tc>
      </w:tr>
      <w:tr>
        <w:tc>
          <w:tcPr>
            <w:tcW w:type="dxa" w:w="922"/>
            <w:gridSpan w:val="2"/>
            <w:vMerge/>
          </w:tcPr>
          <w:p/>
        </w:tc>
        <w:tc>
          <w:tcPr>
            <w:tcW w:type="dxa" w:w="2307"/>
          </w:tcPr>
          <w:p>
            <w:pPr>
              <w:pStyle w:val="null3"/>
              <w:jc w:val="left"/>
            </w:pPr>
            <w:r>
              <w:rPr/>
              <w:t>项目负责人情况 (12.0分)</w:t>
            </w:r>
          </w:p>
        </w:tc>
        <w:tc>
          <w:tcPr>
            <w:tcW w:type="dxa" w:w="5076"/>
          </w:tcPr>
          <w:p>
            <w:pPr>
              <w:pStyle w:val="null3"/>
              <w:jc w:val="left"/>
            </w:pPr>
            <w:r>
              <w:rPr/>
              <w:t>拟派本项目负责人情况： 项目负责人具有高级工程师及以上职称的得4分。在此基础上： 1.项目负责人专业为民航类相关专业，加2分； 2.项目负责人承担过同类项目业绩的，每提供1个业绩证明资料加2分，本小项最高得6分。 注： （1）专业以毕业证或学位证或职称证为准。 （2）业绩证明材料以项目成果扉页或合同复印件的人员信息为准。 （3）需提供投标截止时间前6个月内任意1个月在本单位缴纳的社保证明复印件（证明材料必须由社保局盖章（含电子章）方有效）或劳动合同及职称证书复印件或网页查询截图（显示查询链接）。</w:t>
            </w:r>
          </w:p>
        </w:tc>
      </w:tr>
      <w:tr>
        <w:tc>
          <w:tcPr>
            <w:tcW w:type="dxa" w:w="922"/>
            <w:gridSpan w:val="2"/>
            <w:vMerge/>
          </w:tcPr>
          <w:p/>
        </w:tc>
        <w:tc>
          <w:tcPr>
            <w:tcW w:type="dxa" w:w="2307"/>
          </w:tcPr>
          <w:p>
            <w:pPr>
              <w:pStyle w:val="null3"/>
              <w:jc w:val="left"/>
            </w:pPr>
            <w:r>
              <w:rPr/>
              <w:t>团队成员配备 (15.0分)</w:t>
            </w:r>
          </w:p>
        </w:tc>
        <w:tc>
          <w:tcPr>
            <w:tcW w:type="dxa" w:w="5076"/>
          </w:tcPr>
          <w:p>
            <w:pPr>
              <w:pStyle w:val="null3"/>
              <w:jc w:val="left"/>
            </w:pPr>
            <w:r>
              <w:rPr/>
              <w:t>项目成员满足《第二章 采购需求 》的“项目团队主要成员（不含项目负责人）应不少于6人。”，得2分，在此基础上： 1.项目团队人员（不含项目负责人）专业为民航类相关专业且具备中级工程师职称的，每提供1个加0.5分；专业为民航类相关专业且具备高级工程师职称的，每提供1个加1分；专业为民航类相关专业且具备教授级（正）高级工程师职称的，每提供一个加2分，本项最高加4分。 2.项目团队人员（不含项目负责人）专业为交通相关专业且具备中级工程师职称的，每提供1个加0.5分；专业为交通相关专业且具备高级工程师职称的，每提供1个加1分；专业为交通相关专业且具备教授级（正）高级工程师职称的，每提供一个加2分，本项最高加6分。 3.项目团队人员（不含项目负责人）承担过同类项目业绩的，每人加1分，本项最高加3分。 本项最高得15分。 注： （1）专业以毕业证或学位证或职称证为准； （2）业绩证明材料以项目成果扉页或合同复印件的人员信息为准。 （3）需提供投标截止时间前6个月内任意1个月在本单位缴纳的社保证明复印件（证明材料必须由社保局盖章（含电子章）方有效）或劳动合同及职称证书复印件或网页查询截图（显示查询链接）。</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right="420"/>
        <w:jc w:val="both"/>
      </w:pPr>
      <w:r>
        <w:rPr>
          <w:sz w:val="24"/>
        </w:rPr>
        <w:t>合同编号：</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技 术 服 务 合 同</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7"/>
        </w:rPr>
        <w:t>项目名称：</w:t>
      </w:r>
      <w:r>
        <w:rPr>
          <w:sz w:val="27"/>
          <w:u w:val="single"/>
        </w:rPr>
        <w:t>城维计划-综合交通规划编制经费（子项12：广州市货运机场选址及临空产业园区交通支撑体系规划研究）</w:t>
      </w:r>
    </w:p>
    <w:p>
      <w:pPr>
        <w:pStyle w:val="null3"/>
        <w:jc w:val="both"/>
      </w:pPr>
      <w:r>
        <w:rPr/>
        <w:t xml:space="preserve"> </w:t>
      </w:r>
    </w:p>
    <w:p>
      <w:pPr>
        <w:pStyle w:val="null3"/>
        <w:jc w:val="both"/>
      </w:pPr>
      <w:r>
        <w:rPr>
          <w:sz w:val="27"/>
        </w:rPr>
        <w:t>委托方（甲方）：</w:t>
      </w:r>
      <w:r>
        <w:rPr>
          <w:sz w:val="27"/>
          <w:u w:val="single"/>
        </w:rPr>
        <w:t>广州市规划和自然资源局</w:t>
      </w:r>
    </w:p>
    <w:p>
      <w:pPr>
        <w:pStyle w:val="null3"/>
        <w:jc w:val="both"/>
      </w:pPr>
      <w:r>
        <w:rPr/>
        <w:t xml:space="preserve"> </w:t>
      </w:r>
    </w:p>
    <w:p>
      <w:pPr>
        <w:pStyle w:val="null3"/>
        <w:jc w:val="both"/>
      </w:pPr>
      <w:r>
        <w:rPr>
          <w:sz w:val="27"/>
        </w:rPr>
        <w:t>受托方（乙方）：________________________</w:t>
      </w:r>
      <w:r>
        <w:rPr>
          <w:sz w:val="27"/>
        </w:rPr>
        <w:t>_</w:t>
      </w:r>
      <w:r>
        <w:rPr>
          <w:sz w:val="27"/>
        </w:rPr>
        <w:t>_</w:t>
      </w:r>
    </w:p>
    <w:p>
      <w:pPr>
        <w:pStyle w:val="null3"/>
        <w:jc w:val="both"/>
      </w:pPr>
      <w:r>
        <w:rPr/>
        <w:t xml:space="preserve"> </w:t>
      </w:r>
    </w:p>
    <w:p>
      <w:pPr>
        <w:pStyle w:val="null3"/>
        <w:jc w:val="both"/>
      </w:pPr>
      <w:r>
        <w:rPr>
          <w:sz w:val="27"/>
        </w:rPr>
        <w:t>签订时间：_________________________________</w:t>
      </w:r>
    </w:p>
    <w:p>
      <w:pPr>
        <w:pStyle w:val="null3"/>
        <w:jc w:val="both"/>
      </w:pPr>
      <w:r>
        <w:rPr/>
        <w:t xml:space="preserve"> </w:t>
      </w:r>
    </w:p>
    <w:p>
      <w:pPr>
        <w:pStyle w:val="null3"/>
        <w:jc w:val="both"/>
      </w:pPr>
      <w:r>
        <w:rPr>
          <w:sz w:val="27"/>
        </w:rPr>
        <w:t>签订地点：_________________________________</w:t>
      </w:r>
    </w:p>
    <w:p>
      <w:pPr>
        <w:pStyle w:val="null3"/>
        <w:jc w:val="both"/>
      </w:pPr>
      <w:r>
        <w:rPr/>
        <w:t xml:space="preserve"> </w:t>
      </w:r>
    </w:p>
    <w:p>
      <w:pPr>
        <w:pStyle w:val="null3"/>
        <w:jc w:val="both"/>
      </w:pPr>
      <w:r>
        <w:rPr>
          <w:sz w:val="27"/>
        </w:rPr>
        <w:t>有效期限：_________________________________</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中华人民共和国科学技术部印制</w:t>
      </w:r>
    </w:p>
    <w:p>
      <w:pPr>
        <w:pStyle w:val="null3"/>
        <w:jc w:val="left"/>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填写说明</w:t>
      </w:r>
    </w:p>
    <w:p>
      <w:pPr>
        <w:pStyle w:val="null3"/>
        <w:jc w:val="center"/>
      </w:pPr>
      <w:r>
        <w:rPr>
          <w:sz w:val="24"/>
        </w:rPr>
        <w:t>一、本合同为中华人民共和国科学技术部印制的技术服务合同示范文本，各技术合同认定登记机构可推介技术合同当事人参照使用。</w:t>
      </w:r>
    </w:p>
    <w:p>
      <w:pPr>
        <w:pStyle w:val="null3"/>
        <w:ind w:firstLine="485"/>
        <w:jc w:val="both"/>
      </w:pPr>
      <w:r>
        <w:rPr>
          <w:sz w:val="24"/>
        </w:rPr>
        <w:t>二、本合同书适用于一方当事人（受托方）以技术知识为另一方（委托方）解决特定技术问题所订立的合同。</w:t>
      </w:r>
    </w:p>
    <w:p>
      <w:pPr>
        <w:pStyle w:val="null3"/>
        <w:ind w:firstLine="485"/>
        <w:jc w:val="both"/>
      </w:pPr>
      <w:r>
        <w:rPr>
          <w:sz w:val="24"/>
        </w:rPr>
        <w:t>三、签约一方为多个当事人的，可按各自在合同关系中的作用等，在“委托方”、“受托方”项下（增页）分别排列为共同委托人或共同受托人。</w:t>
      </w:r>
    </w:p>
    <w:p>
      <w:pPr>
        <w:pStyle w:val="null3"/>
        <w:ind w:firstLine="485"/>
        <w:jc w:val="both"/>
      </w:pPr>
      <w:r>
        <w:rPr>
          <w:sz w:val="24"/>
        </w:rPr>
        <w:t>四、本合同书未尽事项，可由当事人附页另行约定，并作为本合同的组成部分。</w:t>
      </w:r>
    </w:p>
    <w:p>
      <w:pPr>
        <w:pStyle w:val="null3"/>
        <w:ind w:firstLine="485"/>
        <w:jc w:val="both"/>
      </w:pPr>
      <w:r>
        <w:rPr>
          <w:sz w:val="24"/>
        </w:rPr>
        <w:t>五、当事人使用本合同书时约定无需填写的条款，应在该条款处注明“无”等字样。</w:t>
      </w:r>
    </w:p>
    <w:p>
      <w:pPr>
        <w:pStyle w:val="null3"/>
      </w:pPr>
      <w:r>
        <w:rPr/>
        <w:t xml:space="preserve"> </w:t>
      </w:r>
    </w:p>
    <w:p>
      <w:pPr>
        <w:pStyle w:val="null3"/>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sz w:val="36"/>
          <w:b/>
        </w:rPr>
        <w:t>技术服务合同</w:t>
      </w:r>
    </w:p>
    <w:p>
      <w:pPr>
        <w:pStyle w:val="null3"/>
        <w:jc w:val="both"/>
      </w:pPr>
      <w:r>
        <w:rPr>
          <w:sz w:val="24"/>
        </w:rPr>
        <w:t>委托方（甲方）：</w:t>
      </w:r>
      <w:r>
        <w:rPr>
          <w:sz w:val="24"/>
          <w:u w:val="single"/>
        </w:rPr>
        <w:t>广州市规划和自然资源局</w:t>
      </w:r>
    </w:p>
    <w:p>
      <w:pPr>
        <w:pStyle w:val="null3"/>
        <w:jc w:val="both"/>
      </w:pPr>
      <w:r>
        <w:rPr>
          <w:sz w:val="24"/>
        </w:rPr>
        <w:t>住所地：</w:t>
      </w:r>
      <w:r>
        <w:rPr>
          <w:sz w:val="24"/>
          <w:u w:val="single"/>
        </w:rPr>
        <w:t>广州市越秀区吉祥路80号</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r>
        <w:rPr>
          <w:sz w:val="24"/>
          <w:u w:val="single"/>
        </w:rPr>
        <w:t>广州市吉祥路80号</w:t>
      </w:r>
    </w:p>
    <w:p>
      <w:pPr>
        <w:pStyle w:val="null3"/>
        <w:jc w:val="both"/>
      </w:pPr>
      <w:r>
        <w:rPr>
          <w:sz w:val="24"/>
        </w:rPr>
        <w:t>电话：传真：</w:t>
      </w:r>
    </w:p>
    <w:p>
      <w:pPr>
        <w:pStyle w:val="null3"/>
        <w:jc w:val="both"/>
      </w:pPr>
      <w:r>
        <w:rPr>
          <w:sz w:val="24"/>
        </w:rPr>
        <w:t>电子信箱：</w:t>
      </w:r>
    </w:p>
    <w:p>
      <w:pPr>
        <w:pStyle w:val="null3"/>
        <w:jc w:val="both"/>
      </w:pPr>
      <w:r>
        <w:rPr>
          <w:sz w:val="24"/>
        </w:rPr>
        <w:t>受托方（乙方）：</w:t>
      </w:r>
    </w:p>
    <w:p>
      <w:pPr>
        <w:pStyle w:val="null3"/>
        <w:jc w:val="both"/>
      </w:pPr>
      <w:r>
        <w:rPr>
          <w:sz w:val="24"/>
        </w:rPr>
        <w:t>住所地：</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p>
    <w:p>
      <w:pPr>
        <w:pStyle w:val="null3"/>
        <w:jc w:val="both"/>
      </w:pPr>
      <w:r>
        <w:rPr>
          <w:sz w:val="24"/>
        </w:rPr>
        <w:t>电话：传真：</w:t>
      </w:r>
    </w:p>
    <w:p>
      <w:pPr>
        <w:pStyle w:val="null3"/>
        <w:jc w:val="both"/>
      </w:pPr>
      <w:r>
        <w:rPr>
          <w:sz w:val="24"/>
        </w:rPr>
        <w:t>电子信箱：</w:t>
      </w:r>
    </w:p>
    <w:p>
      <w:pPr>
        <w:pStyle w:val="null3"/>
        <w:ind w:firstLine="709"/>
        <w:jc w:val="center"/>
      </w:pPr>
      <w:r>
        <w:rPr>
          <w:sz w:val="24"/>
        </w:rPr>
        <w:t>本合同甲方委托乙方就</w:t>
      </w:r>
      <w:r>
        <w:rPr>
          <w:sz w:val="24"/>
          <w:u w:val="single"/>
        </w:rPr>
        <w:t>城维计划-综合交通规划编制经费（子项12：广州市货运机场选址及临空产业园区交通支撑体系规划研究）</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24"/>
        <w:jc w:val="both"/>
      </w:pPr>
      <w:r>
        <w:rPr>
          <w:sz w:val="24"/>
          <w:b/>
        </w:rPr>
        <w:t>第一条：</w:t>
      </w:r>
      <w:r>
        <w:rPr>
          <w:sz w:val="24"/>
        </w:rPr>
        <w:t>甲方委托乙方进行技术服务的内容如下：</w:t>
      </w:r>
    </w:p>
    <w:p>
      <w:pPr>
        <w:pStyle w:val="null3"/>
        <w:ind w:firstLine="422"/>
        <w:jc w:val="both"/>
      </w:pPr>
      <w:r>
        <w:rPr>
          <w:sz w:val="24"/>
        </w:rPr>
        <w:t>1.</w:t>
      </w:r>
      <w:r>
        <w:rPr>
          <w:sz w:val="24"/>
        </w:rPr>
        <w:t>技术服务的目标：</w:t>
      </w:r>
      <w:r>
        <w:rPr>
          <w:sz w:val="24"/>
          <w:u w:val="single"/>
        </w:rPr>
        <w:t>为响应国家关于航空货运发展要求，助力广州制造业立市，需开展广州市货运机场选址研究工作。因此，广州市规划和自然资源局计划组织开展《广州市货运机场选址及临空产业园区交通支撑体系规划研究》编制工作。</w:t>
      </w:r>
    </w:p>
    <w:p>
      <w:pPr>
        <w:pStyle w:val="null3"/>
        <w:ind w:firstLine="422"/>
        <w:jc w:val="both"/>
      </w:pPr>
      <w:r>
        <w:rPr>
          <w:sz w:val="24"/>
        </w:rPr>
        <w:t>2.</w:t>
      </w:r>
      <w:r>
        <w:rPr>
          <w:sz w:val="24"/>
        </w:rPr>
        <w:t>研究范围：</w:t>
      </w:r>
      <w:r>
        <w:rPr>
          <w:sz w:val="24"/>
          <w:u w:val="single"/>
        </w:rPr>
        <w:t>重点范围：广州市行政区划范围，总面积7434.40平方公里。扩展范围：粤港澳大湾区（9市2区），总面积5.6万平方公里。</w:t>
      </w:r>
    </w:p>
    <w:p>
      <w:pPr>
        <w:pStyle w:val="null3"/>
        <w:ind w:firstLine="422"/>
        <w:jc w:val="both"/>
      </w:pPr>
      <w:r>
        <w:rPr>
          <w:sz w:val="24"/>
        </w:rPr>
        <w:t>3.</w:t>
      </w:r>
      <w:r>
        <w:rPr>
          <w:sz w:val="24"/>
        </w:rPr>
        <w:t>技术服务的内容：</w:t>
      </w:r>
    </w:p>
    <w:p>
      <w:pPr>
        <w:pStyle w:val="null3"/>
        <w:ind w:firstLine="422"/>
        <w:jc w:val="both"/>
      </w:pPr>
      <w:r>
        <w:rPr>
          <w:sz w:val="24"/>
          <w:u w:val="single"/>
        </w:rPr>
        <w:t>（1）粤港澳大湾区机场群发展情况。</w:t>
      </w:r>
    </w:p>
    <w:p>
      <w:pPr>
        <w:pStyle w:val="null3"/>
        <w:ind w:firstLine="422"/>
        <w:jc w:val="both"/>
      </w:pPr>
      <w:r>
        <w:rPr>
          <w:sz w:val="24"/>
          <w:u w:val="single"/>
        </w:rPr>
        <w:t>搜集并分析近年来粤港澳大湾区各机场的发展、建设情况和机场周边临空经济区的发展状况，以及粤港澳大湾区空域的总体资源及其限制因素，明确大湾区机场货运发展基础，评估其对未来货运机场选址及运营的影响。</w:t>
      </w:r>
    </w:p>
    <w:p>
      <w:pPr>
        <w:pStyle w:val="null3"/>
        <w:ind w:firstLine="422"/>
        <w:jc w:val="both"/>
      </w:pPr>
      <w:r>
        <w:rPr>
          <w:sz w:val="24"/>
          <w:u w:val="single"/>
        </w:rPr>
        <w:t>（2）国内外货运机场发展经验借鉴。</w:t>
      </w:r>
    </w:p>
    <w:p>
      <w:pPr>
        <w:pStyle w:val="null3"/>
        <w:ind w:firstLine="422"/>
        <w:jc w:val="both"/>
      </w:pPr>
      <w:r>
        <w:rPr>
          <w:sz w:val="24"/>
          <w:u w:val="single"/>
        </w:rPr>
        <w:t>梳理国内外成功的货运机场案例，分析其货运业务发展模式、临空产业规划、交通支撑体系、与龙头货运企业合作模式等方面的经验，为广州货运机场的建设提供启示。</w:t>
      </w:r>
    </w:p>
    <w:p>
      <w:pPr>
        <w:pStyle w:val="null3"/>
        <w:ind w:firstLine="422"/>
        <w:jc w:val="both"/>
      </w:pPr>
      <w:r>
        <w:rPr>
          <w:sz w:val="24"/>
          <w:u w:val="single"/>
        </w:rPr>
        <w:t>（3）广州货运机场建设必要性分析。</w:t>
      </w:r>
    </w:p>
    <w:p>
      <w:pPr>
        <w:pStyle w:val="null3"/>
        <w:ind w:firstLine="422"/>
        <w:jc w:val="both"/>
      </w:pPr>
      <w:r>
        <w:rPr>
          <w:sz w:val="24"/>
          <w:u w:val="single"/>
        </w:rPr>
        <w:t>从国际、国家、大湾区、城市四个层面分别分析对外贸易需求、航空货运发展的政策、城市群间竞合关系、地区航空货运需求与运力缺口等因素，论证推导广州货运机场建设必要性。</w:t>
      </w:r>
    </w:p>
    <w:p>
      <w:pPr>
        <w:pStyle w:val="null3"/>
        <w:ind w:firstLine="422"/>
        <w:jc w:val="both"/>
      </w:pPr>
      <w:r>
        <w:rPr>
          <w:sz w:val="24"/>
          <w:u w:val="single"/>
        </w:rPr>
        <w:t>（4）广州货运机场功能定位及规模研究。</w:t>
      </w:r>
    </w:p>
    <w:p>
      <w:pPr>
        <w:pStyle w:val="null3"/>
        <w:ind w:firstLine="422"/>
        <w:jc w:val="both"/>
      </w:pPr>
      <w:r>
        <w:rPr>
          <w:sz w:val="24"/>
          <w:u w:val="single"/>
        </w:rPr>
        <w:t>结合广州及周边地区的经济社会发展需求和物流产业发展趋势，明确货运机场的功能定位。基于市场需求分析、区域经济发展等因素，预测货运机场的业务量需求，并确定机场跑道数量、停机坪面积、航站楼规模等关键参数，并进行土石方平衡分析研究。</w:t>
      </w:r>
    </w:p>
    <w:p>
      <w:pPr>
        <w:pStyle w:val="null3"/>
        <w:ind w:firstLine="422"/>
        <w:jc w:val="both"/>
      </w:pPr>
      <w:r>
        <w:rPr>
          <w:sz w:val="24"/>
          <w:u w:val="single"/>
        </w:rPr>
        <w:t>（5）广州货运机场可行性分析。</w:t>
      </w:r>
    </w:p>
    <w:p>
      <w:pPr>
        <w:pStyle w:val="null3"/>
        <w:ind w:firstLine="422"/>
        <w:jc w:val="both"/>
      </w:pPr>
      <w:r>
        <w:rPr>
          <w:sz w:val="24"/>
          <w:u w:val="single"/>
        </w:rPr>
        <w:t>分析广州及周边地区的空域资源情况，在满足空域的条件下提出若干处潜在选址。分析潜在选址区域的地形地貌、交通衔接等地面条件。同时，考虑土地征用、拆迁安置等因素，确定最佳选址方案。</w:t>
      </w:r>
    </w:p>
    <w:p>
      <w:pPr>
        <w:pStyle w:val="null3"/>
        <w:ind w:firstLine="422"/>
        <w:jc w:val="both"/>
      </w:pPr>
      <w:r>
        <w:rPr>
          <w:sz w:val="24"/>
          <w:u w:val="single"/>
        </w:rPr>
        <w:t>（6）临空产业概念规划。</w:t>
      </w:r>
    </w:p>
    <w:p>
      <w:pPr>
        <w:pStyle w:val="null3"/>
        <w:ind w:firstLine="422"/>
        <w:jc w:val="both"/>
      </w:pPr>
      <w:r>
        <w:rPr>
          <w:sz w:val="24"/>
          <w:u w:val="single"/>
        </w:rPr>
        <w:t>结合货运机场的功能定位和规模研究，规划临空产业园区的产业布局、空间结构和发展方向，促进临空产业与区域产业的协同发展。</w:t>
      </w:r>
    </w:p>
    <w:p>
      <w:pPr>
        <w:pStyle w:val="null3"/>
        <w:ind w:firstLine="422"/>
        <w:jc w:val="both"/>
      </w:pPr>
      <w:r>
        <w:rPr>
          <w:sz w:val="24"/>
          <w:u w:val="single"/>
        </w:rPr>
        <w:t>（7）机场集疏运体系规划。</w:t>
      </w:r>
    </w:p>
    <w:p>
      <w:pPr>
        <w:pStyle w:val="null3"/>
        <w:ind w:firstLine="422"/>
        <w:jc w:val="both"/>
      </w:pPr>
      <w:r>
        <w:rPr>
          <w:sz w:val="24"/>
          <w:u w:val="single"/>
        </w:rPr>
        <w:t>规划货运机场与周边道路和轨道网络的衔接方案，包括高速公路、城市道路、国家铁路、城际铁路等。</w:t>
      </w:r>
    </w:p>
    <w:p>
      <w:pPr>
        <w:pStyle w:val="null3"/>
        <w:ind w:firstLine="422"/>
        <w:jc w:val="both"/>
      </w:pPr>
      <w:r>
        <w:rPr>
          <w:sz w:val="24"/>
          <w:u w:val="single"/>
        </w:rPr>
        <w:t>（8）空间管控要求</w:t>
      </w:r>
    </w:p>
    <w:p>
      <w:pPr>
        <w:pStyle w:val="null3"/>
        <w:ind w:firstLine="422"/>
        <w:jc w:val="both"/>
      </w:pPr>
      <w:r>
        <w:rPr>
          <w:sz w:val="24"/>
          <w:u w:val="single"/>
        </w:rPr>
        <w:t>明确提出货运机场的空间管控要求，包括用地位置、范围、机场空域方案、机场周边净空障碍物控制要求等。</w:t>
      </w:r>
    </w:p>
    <w:p>
      <w:pPr>
        <w:pStyle w:val="null3"/>
        <w:ind w:firstLine="422"/>
        <w:jc w:val="both"/>
      </w:pPr>
      <w:r>
        <w:rPr>
          <w:sz w:val="24"/>
          <w:u w:val="single"/>
        </w:rPr>
        <w:t>（9）实施时机、路径及保障措施。</w:t>
      </w:r>
    </w:p>
    <w:p>
      <w:pPr>
        <w:pStyle w:val="null3"/>
        <w:ind w:firstLine="422"/>
        <w:jc w:val="both"/>
      </w:pPr>
      <w:r>
        <w:rPr>
          <w:sz w:val="24"/>
          <w:u w:val="single"/>
        </w:rPr>
        <w:t>提出货运机场规划建设实施路径，以及政策、资金、土地等方面的保障措施。</w:t>
      </w:r>
    </w:p>
    <w:p>
      <w:pPr>
        <w:pStyle w:val="null3"/>
        <w:ind w:firstLine="422"/>
        <w:jc w:val="both"/>
      </w:pPr>
      <w:r>
        <w:rPr>
          <w:sz w:val="24"/>
          <w:u w:val="single"/>
        </w:rPr>
        <w:t>形成“1+1”的成果体系，包括1份主报告，1份简本报告。其中主报告为项目完整分析成果，注重完整性；简本报告为项目核心成果，注重凝练性。</w:t>
      </w:r>
    </w:p>
    <w:p>
      <w:pPr>
        <w:pStyle w:val="null3"/>
        <w:ind w:firstLine="422"/>
        <w:jc w:val="both"/>
      </w:pPr>
      <w:r>
        <w:rPr>
          <w:sz w:val="24"/>
        </w:rPr>
        <w:t>4.</w:t>
      </w:r>
      <w:r>
        <w:rPr>
          <w:sz w:val="24"/>
        </w:rPr>
        <w:t>技术服务的方式：</w:t>
      </w:r>
      <w:r>
        <w:rPr>
          <w:sz w:val="24"/>
          <w:u w:val="single"/>
        </w:rPr>
        <w:t>总价包干</w:t>
      </w:r>
      <w:r>
        <w:rPr>
          <w:sz w:val="24"/>
        </w:rPr>
        <w:t>。</w:t>
      </w:r>
    </w:p>
    <w:p>
      <w:pPr>
        <w:pStyle w:val="null3"/>
        <w:ind w:firstLine="422"/>
        <w:jc w:val="both"/>
      </w:pPr>
      <w:r>
        <w:rPr>
          <w:sz w:val="24"/>
        </w:rPr>
        <w:t>5.</w:t>
      </w:r>
      <w:r>
        <w:rPr>
          <w:sz w:val="24"/>
          <w:u w:val="single"/>
        </w:rPr>
        <w:t>为保证项目工作的持续性，承接单位需提供后续服务保障，协助完成项目报批及成果宣传工作。</w:t>
      </w:r>
    </w:p>
    <w:p>
      <w:pPr>
        <w:pStyle w:val="null3"/>
        <w:ind w:firstLine="424"/>
        <w:jc w:val="both"/>
      </w:pPr>
      <w:r>
        <w:rPr>
          <w:sz w:val="24"/>
          <w:b/>
        </w:rPr>
        <w:t>第二条：</w:t>
      </w:r>
      <w:r>
        <w:rPr>
          <w:sz w:val="24"/>
        </w:rPr>
        <w:t>乙方应按下列要求完成技术服务工作：</w:t>
      </w:r>
    </w:p>
    <w:p>
      <w:pPr>
        <w:pStyle w:val="null3"/>
        <w:ind w:firstLine="422"/>
        <w:jc w:val="both"/>
      </w:pPr>
      <w:r>
        <w:rPr>
          <w:sz w:val="24"/>
        </w:rPr>
        <w:t>1.</w:t>
      </w:r>
      <w:r>
        <w:rPr>
          <w:sz w:val="24"/>
        </w:rPr>
        <w:t>技术服务地点：</w:t>
      </w:r>
      <w:r>
        <w:rPr>
          <w:sz w:val="24"/>
          <w:u w:val="single"/>
        </w:rPr>
        <w:t>广州市</w:t>
      </w:r>
    </w:p>
    <w:p>
      <w:pPr>
        <w:pStyle w:val="null3"/>
        <w:ind w:firstLine="422"/>
        <w:jc w:val="both"/>
      </w:pPr>
      <w:r>
        <w:rPr>
          <w:sz w:val="24"/>
        </w:rPr>
        <w:t>2.</w:t>
      </w:r>
      <w:r>
        <w:rPr>
          <w:sz w:val="24"/>
        </w:rPr>
        <w:t>技术服务期限：</w:t>
      </w:r>
      <w:r>
        <w:rPr>
          <w:sz w:val="24"/>
        </w:rPr>
        <w:t>自合同签订之日起至</w:t>
      </w:r>
      <w:r>
        <w:rPr>
          <w:sz w:val="24"/>
        </w:rPr>
        <w:t>2026</w:t>
      </w:r>
      <w:r>
        <w:rPr>
          <w:sz w:val="24"/>
        </w:rPr>
        <w:t>年</w:t>
      </w:r>
      <w:r>
        <w:rPr>
          <w:sz w:val="24"/>
        </w:rPr>
        <w:t>6</w:t>
      </w:r>
      <w:r>
        <w:rPr>
          <w:sz w:val="24"/>
        </w:rPr>
        <w:t>月</w:t>
      </w:r>
      <w:r>
        <w:rPr>
          <w:sz w:val="24"/>
        </w:rPr>
        <w:t>30</w:t>
      </w:r>
      <w:r>
        <w:rPr>
          <w:sz w:val="24"/>
        </w:rPr>
        <w:t>日。</w:t>
      </w:r>
    </w:p>
    <w:p>
      <w:pPr>
        <w:pStyle w:val="null3"/>
        <w:ind w:firstLine="422"/>
        <w:jc w:val="both"/>
      </w:pPr>
      <w:r>
        <w:rPr>
          <w:sz w:val="24"/>
        </w:rPr>
        <w:t>3.</w:t>
      </w:r>
      <w:r>
        <w:rPr>
          <w:sz w:val="24"/>
        </w:rPr>
        <w:t>技术服务团队要求：</w:t>
      </w:r>
      <w:r>
        <w:rPr>
          <w:sz w:val="24"/>
          <w:u w:val="single"/>
        </w:rPr>
        <w:t>乙方所提交的项目组成员名单以及项目负责人未经书面申请并获得甲方同意，不得更换。项目汇报应由项目负责人汇报，未经甲方同意不得调整汇报人。</w:t>
      </w:r>
    </w:p>
    <w:p>
      <w:pPr>
        <w:pStyle w:val="null3"/>
        <w:ind w:firstLine="422"/>
        <w:jc w:val="both"/>
      </w:pPr>
      <w:r>
        <w:rPr>
          <w:sz w:val="24"/>
        </w:rPr>
        <w:t>4.</w:t>
      </w:r>
      <w:r>
        <w:rPr>
          <w:sz w:val="24"/>
        </w:rPr>
        <w:t>技术服务进度：</w:t>
      </w:r>
      <w:r>
        <w:rPr>
          <w:sz w:val="24"/>
          <w:u w:val="single"/>
        </w:rPr>
        <w:t xml:space="preserve">                。</w:t>
      </w:r>
    </w:p>
    <w:p>
      <w:pPr>
        <w:pStyle w:val="null3"/>
        <w:ind w:firstLine="422"/>
        <w:jc w:val="both"/>
      </w:pPr>
      <w:r>
        <w:rPr>
          <w:sz w:val="24"/>
        </w:rPr>
        <w:t>5.</w:t>
      </w:r>
      <w:r>
        <w:rPr>
          <w:sz w:val="24"/>
        </w:rPr>
        <w:t>技术服务质量要求：</w:t>
      </w:r>
    </w:p>
    <w:p>
      <w:pPr>
        <w:pStyle w:val="null3"/>
        <w:ind w:firstLine="422"/>
        <w:jc w:val="both"/>
      </w:pPr>
      <w:r>
        <w:rPr>
          <w:sz w:val="24"/>
          <w:u w:val="single"/>
        </w:rPr>
        <w:t>（1）设计成果内容必须符合需求书中的设计原则、规划内容等有关章节的规定。</w:t>
      </w:r>
    </w:p>
    <w:p>
      <w:pPr>
        <w:pStyle w:val="null3"/>
        <w:ind w:firstLine="422"/>
        <w:jc w:val="both"/>
      </w:pPr>
      <w:r>
        <w:rPr>
          <w:sz w:val="24"/>
          <w:u w:val="single"/>
        </w:rPr>
        <w:t>（2）规划设计成果包括：规划文本、图纸和附件以及相对应的电子文件，符合入库标准。</w:t>
      </w:r>
    </w:p>
    <w:p>
      <w:pPr>
        <w:pStyle w:val="null3"/>
        <w:ind w:firstLine="422"/>
        <w:jc w:val="both"/>
      </w:pPr>
      <w:r>
        <w:rPr>
          <w:sz w:val="24"/>
          <w:u w:val="single"/>
        </w:rPr>
        <w:t>（3）成果深度：设计成果的深度必须符合需求书中的深度要求。</w:t>
      </w:r>
    </w:p>
    <w:p>
      <w:pPr>
        <w:pStyle w:val="null3"/>
        <w:ind w:firstLine="422"/>
        <w:jc w:val="both"/>
      </w:pPr>
      <w:r>
        <w:rPr>
          <w:sz w:val="24"/>
          <w:u w:val="single"/>
        </w:rPr>
        <w:t>（4）在各阶段成果等各阶段汇报交流后，应随即提交项目各阶段性方案的全部电子文件（CAD、PPT、JPG文件格式）。最终成果须提交A3规格的规划文本10套，同时提交全部成果的电子文件（CAD、GIS、JPG、DOC、PDF文件格式，符合入库标准、多媒体汇报文件）2套。</w:t>
      </w:r>
    </w:p>
    <w:p>
      <w:pPr>
        <w:pStyle w:val="null3"/>
        <w:ind w:firstLine="422"/>
        <w:jc w:val="both"/>
      </w:pPr>
      <w:r>
        <w:rPr>
          <w:sz w:val="24"/>
          <w:u w:val="single"/>
        </w:rPr>
        <w:t>（5）成果规范：交付的成果必须签署齐全，设计图纸和文本文件必须做到清晰、完整，尺寸齐全、准确，同类图纸规格应统一</w:t>
      </w:r>
      <w:r>
        <w:rPr>
          <w:sz w:val="24"/>
          <w:u w:val="single"/>
        </w:rPr>
        <w:t>。</w:t>
      </w:r>
    </w:p>
    <w:p>
      <w:pPr>
        <w:pStyle w:val="null3"/>
        <w:ind w:firstLine="424"/>
        <w:jc w:val="both"/>
      </w:pPr>
      <w:r>
        <w:rPr>
          <w:sz w:val="24"/>
          <w:b/>
        </w:rPr>
        <w:t>第三条</w:t>
      </w:r>
      <w:r>
        <w:rPr>
          <w:sz w:val="24"/>
        </w:rPr>
        <w:t>：为保证乙方有效进行技术服务工作，甲方应当向乙方提供下列工作条件和协作事项：</w:t>
      </w:r>
    </w:p>
    <w:p>
      <w:pPr>
        <w:pStyle w:val="null3"/>
        <w:ind w:firstLine="422"/>
        <w:jc w:val="both"/>
      </w:pPr>
      <w:r>
        <w:rPr>
          <w:sz w:val="24"/>
        </w:rPr>
        <w:t>1.</w:t>
      </w:r>
      <w:r>
        <w:rPr>
          <w:sz w:val="24"/>
        </w:rPr>
        <w:t>提供技术资料：</w:t>
      </w:r>
      <w:r>
        <w:rPr>
          <w:sz w:val="24"/>
          <w:u w:val="single"/>
        </w:rPr>
        <w:t>由甲乙双方协商确定</w:t>
      </w:r>
    </w:p>
    <w:p>
      <w:pPr>
        <w:pStyle w:val="null3"/>
        <w:ind w:firstLine="422"/>
        <w:jc w:val="both"/>
      </w:pPr>
      <w:r>
        <w:rPr>
          <w:sz w:val="24"/>
        </w:rPr>
        <w:t>2.</w:t>
      </w:r>
      <w:r>
        <w:rPr>
          <w:sz w:val="24"/>
        </w:rPr>
        <w:t>提供工作条件：</w:t>
      </w:r>
    </w:p>
    <w:p>
      <w:pPr>
        <w:pStyle w:val="null3"/>
        <w:ind w:firstLine="422"/>
        <w:jc w:val="both"/>
      </w:pPr>
      <w:r>
        <w:rPr>
          <w:sz w:val="24"/>
        </w:rPr>
        <w:t>（1）</w:t>
      </w:r>
      <w:r>
        <w:rPr>
          <w:sz w:val="24"/>
          <w:u w:val="single"/>
        </w:rPr>
        <w:t>协助开展资料收集及现场调查</w:t>
      </w:r>
    </w:p>
    <w:p>
      <w:pPr>
        <w:pStyle w:val="null3"/>
        <w:ind w:firstLine="422"/>
        <w:jc w:val="both"/>
      </w:pPr>
      <w:r>
        <w:rPr>
          <w:sz w:val="24"/>
        </w:rPr>
        <w:t>（2）</w:t>
      </w:r>
      <w:r>
        <w:rPr>
          <w:sz w:val="24"/>
          <w:u w:val="single"/>
        </w:rPr>
        <w:t>负责协调有关部门</w:t>
      </w:r>
    </w:p>
    <w:p>
      <w:pPr>
        <w:pStyle w:val="null3"/>
        <w:ind w:firstLine="422"/>
        <w:jc w:val="both"/>
      </w:pPr>
      <w:r>
        <w:rPr>
          <w:sz w:val="24"/>
        </w:rPr>
        <w:t>3.</w:t>
      </w:r>
      <w:r>
        <w:rPr>
          <w:sz w:val="24"/>
        </w:rPr>
        <w:t>其他：</w:t>
      </w:r>
      <w:r>
        <w:rPr>
          <w:sz w:val="24"/>
          <w:u w:val="single"/>
        </w:rPr>
        <w:t>负责组织成果评审和报审</w:t>
      </w:r>
    </w:p>
    <w:p>
      <w:pPr>
        <w:pStyle w:val="null3"/>
        <w:ind w:firstLine="422"/>
        <w:jc w:val="both"/>
      </w:pPr>
      <w:r>
        <w:rPr>
          <w:sz w:val="24"/>
        </w:rPr>
        <w:t>4.</w:t>
      </w:r>
      <w:r>
        <w:rPr>
          <w:sz w:val="24"/>
        </w:rPr>
        <w:t>甲方提供上述工作条件和协作事项的时间及方式：</w:t>
      </w:r>
      <w:r>
        <w:rPr>
          <w:sz w:val="24"/>
          <w:u w:val="single"/>
        </w:rPr>
        <w:t>双方签订合同后，具体方式由双方协商</w:t>
      </w:r>
      <w:r>
        <w:rPr>
          <w:sz w:val="24"/>
        </w:rPr>
        <w:t>。</w:t>
      </w:r>
    </w:p>
    <w:p>
      <w:pPr>
        <w:pStyle w:val="null3"/>
        <w:ind w:firstLine="424"/>
        <w:jc w:val="both"/>
      </w:pPr>
      <w:r>
        <w:rPr>
          <w:sz w:val="24"/>
          <w:b/>
        </w:rPr>
        <w:t>第四条</w:t>
      </w:r>
      <w:r>
        <w:rPr>
          <w:sz w:val="24"/>
        </w:rPr>
        <w:t>：甲方向乙方支付技术服务报酬及支付方式为：</w:t>
      </w:r>
    </w:p>
    <w:p>
      <w:pPr>
        <w:pStyle w:val="null3"/>
        <w:ind w:firstLine="422"/>
        <w:jc w:val="both"/>
      </w:pPr>
      <w:r>
        <w:rPr>
          <w:sz w:val="24"/>
        </w:rPr>
        <w:t>1.</w:t>
      </w:r>
      <w:r>
        <w:rPr>
          <w:sz w:val="24"/>
        </w:rPr>
        <w:t>技术服务费总额为：</w:t>
      </w:r>
      <w:r>
        <w:rPr>
          <w:sz w:val="24"/>
          <w:u w:val="single"/>
        </w:rPr>
        <w:t>（中标总价）</w:t>
      </w:r>
    </w:p>
    <w:p>
      <w:pPr>
        <w:pStyle w:val="null3"/>
        <w:ind w:firstLine="422"/>
        <w:jc w:val="both"/>
      </w:pPr>
      <w:r>
        <w:rPr>
          <w:sz w:val="24"/>
        </w:rPr>
        <w:t>2.</w:t>
      </w:r>
      <w:r>
        <w:rPr>
          <w:sz w:val="24"/>
        </w:rPr>
        <w:t>技术服务费由甲方</w:t>
      </w:r>
      <w:r>
        <w:rPr>
          <w:sz w:val="24"/>
          <w:u w:val="single"/>
        </w:rPr>
        <w:t xml:space="preserve"> 分三期  </w:t>
      </w:r>
      <w:r>
        <w:rPr>
          <w:sz w:val="24"/>
        </w:rPr>
        <w:t>支付乙方。</w:t>
      </w:r>
    </w:p>
    <w:p>
      <w:pPr>
        <w:pStyle w:val="null3"/>
        <w:ind w:firstLine="422"/>
        <w:jc w:val="both"/>
      </w:pPr>
      <w:r>
        <w:rPr>
          <w:sz w:val="24"/>
        </w:rPr>
        <w:t>具体支付方式和时间如下：</w:t>
      </w:r>
    </w:p>
    <w:p>
      <w:pPr>
        <w:pStyle w:val="null3"/>
        <w:ind w:firstLine="422"/>
        <w:jc w:val="both"/>
      </w:pPr>
      <w:r>
        <w:rPr>
          <w:sz w:val="24"/>
        </w:rPr>
        <w:t>（1）</w:t>
      </w:r>
      <w:r>
        <w:rPr>
          <w:sz w:val="24"/>
        </w:rPr>
        <w:t>签订合同后，甲方自收到发票后5个工作日内向乙方支付本项目合同总金额的50%</w:t>
      </w:r>
      <w:r>
        <w:rPr>
          <w:sz w:val="24"/>
        </w:rPr>
        <w:t>，即人民币(大写)：</w:t>
      </w:r>
      <w:r>
        <w:rPr>
          <w:sz w:val="24"/>
          <w:u w:val="single"/>
        </w:rPr>
        <w:t xml:space="preserve">           </w:t>
      </w:r>
      <w:r>
        <w:rPr>
          <w:sz w:val="24"/>
        </w:rPr>
        <w:t>元整；(小写)：￥</w:t>
      </w:r>
      <w:r>
        <w:rPr>
          <w:sz w:val="24"/>
          <w:u w:val="single"/>
        </w:rPr>
        <w:t xml:space="preserve">           </w:t>
      </w:r>
      <w:r>
        <w:rPr>
          <w:sz w:val="24"/>
        </w:rPr>
        <w:t>。预计在2025年3月31日前支付第一期费用。</w:t>
      </w:r>
    </w:p>
    <w:p>
      <w:pPr>
        <w:pStyle w:val="null3"/>
        <w:ind w:firstLine="422"/>
        <w:jc w:val="both"/>
      </w:pPr>
      <w:r>
        <w:rPr>
          <w:sz w:val="24"/>
        </w:rPr>
        <w:t>（2）2025年8月31日前，乙方按期完成规划成果，并通过专家评审后申请拨付合同经费，合同总金额的30%，即人民币(大写)：</w:t>
      </w:r>
      <w:r>
        <w:rPr>
          <w:sz w:val="24"/>
          <w:u w:val="single"/>
        </w:rPr>
        <w:t xml:space="preserve">           </w:t>
      </w:r>
      <w:r>
        <w:rPr>
          <w:sz w:val="24"/>
        </w:rPr>
        <w:t>元整；(小写)：￥</w:t>
      </w:r>
      <w:r>
        <w:rPr>
          <w:sz w:val="24"/>
          <w:u w:val="single"/>
        </w:rPr>
        <w:t xml:space="preserve">           </w:t>
      </w:r>
      <w:r>
        <w:rPr>
          <w:sz w:val="24"/>
        </w:rPr>
        <w:t>。预计在2025年8月31日前支付第二期费用。</w:t>
      </w:r>
    </w:p>
    <w:p>
      <w:pPr>
        <w:pStyle w:val="null3"/>
        <w:ind w:firstLine="422"/>
        <w:jc w:val="both"/>
      </w:pPr>
      <w:r>
        <w:rPr>
          <w:sz w:val="24"/>
        </w:rPr>
        <w:t>（3）2025年11月30日前，乙方根据甲方审查意见修改规划成果。最终成果经甲方验收通过并出具结题函，待成果归档后申请拨付合同经费，合同总金额的20%，即人民币(大写)：</w:t>
      </w:r>
      <w:r>
        <w:rPr>
          <w:sz w:val="24"/>
          <w:u w:val="single"/>
        </w:rPr>
        <w:t xml:space="preserve">           </w:t>
      </w:r>
      <w:r>
        <w:rPr>
          <w:sz w:val="24"/>
        </w:rPr>
        <w:t>元整；(小写)：￥</w:t>
      </w:r>
      <w:r>
        <w:rPr>
          <w:sz w:val="24"/>
          <w:u w:val="single"/>
        </w:rPr>
        <w:t xml:space="preserve">           </w:t>
      </w:r>
      <w:r>
        <w:rPr>
          <w:sz w:val="24"/>
        </w:rPr>
        <w:t>。预计在2025年11月30日前支付第三期费用。</w:t>
      </w:r>
    </w:p>
    <w:p>
      <w:pPr>
        <w:pStyle w:val="null3"/>
        <w:ind w:firstLine="422"/>
        <w:jc w:val="both"/>
      </w:pPr>
      <w:r>
        <w:rPr>
          <w:sz w:val="24"/>
        </w:rPr>
        <w:t>（4）对于满足合同支付条件的，甲方原则上应当在收到发票后5个工作日内按照《广州市本级财政直接支付用款申请办事指南》办理支付手续。</w:t>
      </w:r>
    </w:p>
    <w:p>
      <w:pPr>
        <w:pStyle w:val="null3"/>
        <w:ind w:firstLine="422"/>
        <w:jc w:val="both"/>
      </w:pPr>
      <w:r>
        <w:rPr>
          <w:sz w:val="24"/>
        </w:rPr>
        <w:t>（5）每次按合同支付款项前，乙方应向甲方提供与支付金额相符的有效发票，且收款方、出具发票方、合同乙方均必须与乙方名称一致。</w:t>
      </w:r>
    </w:p>
    <w:p>
      <w:pPr>
        <w:pStyle w:val="null3"/>
        <w:ind w:firstLine="422"/>
        <w:jc w:val="both"/>
      </w:pPr>
      <w:r>
        <w:rPr>
          <w:sz w:val="24"/>
        </w:rPr>
        <w:t>（6）因甲方使用的是财政资金，甲方在前款规定的付款时间内向支付部门提出办理财政支付申请手续的时间（不含政府财政支付部门审核的时间）即视为甲方已经按期支付，实际付款时间及金额以支付部门支付时间及金额为准。</w:t>
      </w:r>
    </w:p>
    <w:p>
      <w:pPr>
        <w:pStyle w:val="null3"/>
        <w:ind w:firstLine="422"/>
        <w:jc w:val="both"/>
      </w:pPr>
      <w:r>
        <w:rPr>
          <w:sz w:val="24"/>
        </w:rPr>
        <w:t>乙方开户银行名称、地址和账号为：</w:t>
      </w:r>
    </w:p>
    <w:p>
      <w:pPr>
        <w:pStyle w:val="null3"/>
        <w:ind w:firstLine="422"/>
        <w:jc w:val="both"/>
      </w:pPr>
      <w:r>
        <w:rPr>
          <w:sz w:val="24"/>
        </w:rPr>
        <w:t>开户银行：</w:t>
      </w:r>
    </w:p>
    <w:p>
      <w:pPr>
        <w:pStyle w:val="null3"/>
        <w:ind w:firstLine="422"/>
        <w:jc w:val="both"/>
      </w:pPr>
      <w:r>
        <w:rPr>
          <w:sz w:val="24"/>
        </w:rPr>
        <w:t>地址：</w:t>
      </w:r>
    </w:p>
    <w:p>
      <w:pPr>
        <w:pStyle w:val="null3"/>
        <w:ind w:firstLine="422"/>
        <w:jc w:val="both"/>
      </w:pPr>
      <w:r>
        <w:rPr>
          <w:sz w:val="24"/>
        </w:rPr>
        <w:t>账号：</w:t>
      </w:r>
    </w:p>
    <w:p>
      <w:pPr>
        <w:pStyle w:val="null3"/>
        <w:ind w:firstLine="424"/>
        <w:jc w:val="both"/>
      </w:pPr>
      <w:r>
        <w:rPr>
          <w:sz w:val="24"/>
          <w:b/>
        </w:rPr>
        <w:t>第五条</w:t>
      </w:r>
      <w:r>
        <w:rPr>
          <w:sz w:val="24"/>
        </w:rPr>
        <w:t>：双方确定因履行本合同应遵守的保密义务如下：</w:t>
      </w:r>
    </w:p>
    <w:p>
      <w:pPr>
        <w:pStyle w:val="null3"/>
        <w:ind w:firstLine="422"/>
        <w:jc w:val="both"/>
      </w:pPr>
      <w:r>
        <w:rPr>
          <w:sz w:val="24"/>
        </w:rPr>
        <w:t>1.</w:t>
      </w:r>
      <w:r>
        <w:rPr>
          <w:sz w:val="24"/>
        </w:rPr>
        <w:t>保密内容（包括技术信息和经营信息）:</w:t>
      </w:r>
      <w:r>
        <w:rPr>
          <w:sz w:val="24"/>
          <w:u w:val="single"/>
        </w:rPr>
        <w:t>全部研究成果，包括各种因使用本项目经费而获得的资料、研究成果的文本和电子文件；</w:t>
      </w:r>
    </w:p>
    <w:p>
      <w:pPr>
        <w:pStyle w:val="null3"/>
        <w:ind w:firstLine="422"/>
        <w:jc w:val="both"/>
      </w:pPr>
      <w:r>
        <w:rPr>
          <w:sz w:val="24"/>
        </w:rPr>
        <w:t>2.</w:t>
      </w:r>
      <w:r>
        <w:rPr>
          <w:sz w:val="24"/>
        </w:rPr>
        <w:t>涉密人员范围:</w:t>
      </w:r>
      <w:r>
        <w:rPr>
          <w:sz w:val="24"/>
          <w:u w:val="single"/>
        </w:rPr>
        <w:t>参与本项工作的人员；</w:t>
      </w:r>
    </w:p>
    <w:p>
      <w:pPr>
        <w:pStyle w:val="null3"/>
        <w:ind w:firstLine="422"/>
        <w:jc w:val="both"/>
      </w:pPr>
      <w:r>
        <w:rPr>
          <w:sz w:val="24"/>
        </w:rPr>
        <w:t>3.</w:t>
      </w:r>
      <w:r>
        <w:rPr>
          <w:sz w:val="24"/>
        </w:rPr>
        <w:t>保密期限：</w:t>
      </w:r>
      <w:r>
        <w:rPr>
          <w:sz w:val="24"/>
          <w:u w:val="single"/>
        </w:rPr>
        <w:t>合同期内必须执行保密规定，合同期满后按相关法律规定执行</w:t>
      </w:r>
      <w:r>
        <w:rPr>
          <w:sz w:val="24"/>
        </w:rPr>
        <w:t>；</w:t>
      </w:r>
    </w:p>
    <w:p>
      <w:pPr>
        <w:pStyle w:val="null3"/>
        <w:ind w:firstLine="422"/>
        <w:jc w:val="both"/>
      </w:pPr>
      <w:r>
        <w:rPr>
          <w:sz w:val="24"/>
        </w:rPr>
        <w:t>4.</w:t>
      </w:r>
      <w:r>
        <w:rPr>
          <w:sz w:val="24"/>
        </w:rPr>
        <w:t>泄密责任：</w:t>
      </w:r>
      <w:r>
        <w:rPr>
          <w:sz w:val="24"/>
          <w:u w:val="single"/>
        </w:rPr>
        <w:t>按照法律规定承担有关责任</w:t>
      </w:r>
      <w:r>
        <w:rPr>
          <w:sz w:val="24"/>
        </w:rPr>
        <w:t>。</w:t>
      </w:r>
    </w:p>
    <w:p>
      <w:pPr>
        <w:pStyle w:val="null3"/>
        <w:ind w:firstLine="424"/>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十五</w:t>
      </w:r>
      <w:r>
        <w:rPr>
          <w:sz w:val="24"/>
        </w:rPr>
        <w:t>日内予以答复；逾期未予答复的，视为同意：</w:t>
      </w:r>
    </w:p>
    <w:p>
      <w:pPr>
        <w:pStyle w:val="null3"/>
        <w:ind w:firstLine="422"/>
        <w:jc w:val="both"/>
      </w:pPr>
      <w:r>
        <w:rPr>
          <w:sz w:val="24"/>
        </w:rPr>
        <w:t>1.</w:t>
      </w:r>
      <w:r>
        <w:rPr>
          <w:sz w:val="24"/>
          <w:u w:val="single"/>
        </w:rPr>
        <w:t>国家法律、法规、政策、技术标准和规范、政府计划调整</w:t>
      </w:r>
    </w:p>
    <w:p>
      <w:pPr>
        <w:pStyle w:val="null3"/>
        <w:ind w:firstLine="422"/>
        <w:jc w:val="both"/>
      </w:pPr>
      <w:r>
        <w:rPr>
          <w:sz w:val="24"/>
        </w:rPr>
        <w:t>2.</w:t>
      </w:r>
      <w:r>
        <w:rPr>
          <w:sz w:val="24"/>
          <w:u w:val="single"/>
        </w:rPr>
        <w:t>项目建议书变更</w:t>
      </w:r>
    </w:p>
    <w:p>
      <w:pPr>
        <w:pStyle w:val="null3"/>
        <w:ind w:firstLine="424"/>
        <w:jc w:val="both"/>
      </w:pPr>
      <w:r>
        <w:rPr>
          <w:sz w:val="24"/>
          <w:b/>
        </w:rPr>
        <w:t>第七条：</w:t>
      </w:r>
      <w:r>
        <w:rPr>
          <w:sz w:val="24"/>
        </w:rPr>
        <w:t>双方确定以下列标准和方式对乙方的技术服务工作成果进行验收：</w:t>
      </w:r>
    </w:p>
    <w:p>
      <w:pPr>
        <w:pStyle w:val="null3"/>
        <w:ind w:firstLine="422"/>
        <w:jc w:val="both"/>
      </w:pPr>
      <w:r>
        <w:rPr>
          <w:sz w:val="24"/>
        </w:rPr>
        <w:t>1.</w:t>
      </w:r>
      <w:r>
        <w:rPr>
          <w:sz w:val="24"/>
        </w:rPr>
        <w:t>乙方完成技术服务工作的形式：</w:t>
      </w:r>
      <w:r>
        <w:rPr>
          <w:sz w:val="24"/>
          <w:u w:val="single"/>
        </w:rPr>
        <w:t>本项工作采取分阶段评审的方式，广州市规划和自然资源局负责组织审查工作</w:t>
      </w:r>
      <w:r>
        <w:rPr>
          <w:sz w:val="24"/>
        </w:rPr>
        <w:t>。</w:t>
      </w:r>
    </w:p>
    <w:p>
      <w:pPr>
        <w:pStyle w:val="null3"/>
        <w:ind w:firstLine="422"/>
        <w:jc w:val="both"/>
      </w:pPr>
      <w:r>
        <w:rPr>
          <w:sz w:val="24"/>
        </w:rPr>
        <w:t>2.</w:t>
      </w:r>
      <w:r>
        <w:rPr>
          <w:sz w:val="24"/>
        </w:rPr>
        <w:t>技术服务工作成果的验收标准：</w:t>
      </w:r>
      <w:r>
        <w:rPr>
          <w:sz w:val="24"/>
          <w:u w:val="single"/>
        </w:rPr>
        <w:t>符合项目任务书研究内容的要求，且通过甲方组织的专家审查会审查</w:t>
      </w:r>
      <w:r>
        <w:rPr>
          <w:sz w:val="24"/>
        </w:rPr>
        <w:t>。</w:t>
      </w:r>
    </w:p>
    <w:p>
      <w:pPr>
        <w:pStyle w:val="null3"/>
        <w:ind w:firstLine="422"/>
        <w:jc w:val="both"/>
      </w:pPr>
      <w:r>
        <w:rPr>
          <w:sz w:val="24"/>
        </w:rPr>
        <w:t>3.</w:t>
      </w:r>
      <w:r>
        <w:rPr>
          <w:sz w:val="24"/>
        </w:rPr>
        <w:t>技术服务工作成果的验收方法：</w:t>
      </w:r>
      <w:r>
        <w:rPr>
          <w:sz w:val="24"/>
          <w:u w:val="single"/>
        </w:rPr>
        <w:t>研究成果由广州市规划和自然资源局组织审查；项目承担单位负责提供审查和验收所必须的研究成果和汇报资料</w:t>
      </w:r>
      <w:r>
        <w:rPr>
          <w:sz w:val="24"/>
        </w:rPr>
        <w:t>。</w:t>
      </w:r>
    </w:p>
    <w:p>
      <w:pPr>
        <w:pStyle w:val="null3"/>
        <w:ind w:firstLine="422"/>
        <w:jc w:val="both"/>
      </w:pPr>
      <w:r>
        <w:rPr>
          <w:sz w:val="24"/>
        </w:rPr>
        <w:t>4.</w:t>
      </w:r>
      <w:r>
        <w:rPr>
          <w:sz w:val="24"/>
        </w:rPr>
        <w:t>验收的时间和地点：</w:t>
      </w:r>
      <w:r>
        <w:rPr>
          <w:sz w:val="24"/>
          <w:u w:val="single"/>
        </w:rPr>
        <w:t>由甲方决定</w:t>
      </w:r>
      <w:r>
        <w:rPr>
          <w:sz w:val="24"/>
        </w:rPr>
        <w:t>。</w:t>
      </w:r>
    </w:p>
    <w:p>
      <w:pPr>
        <w:pStyle w:val="null3"/>
        <w:ind w:firstLine="424"/>
        <w:jc w:val="both"/>
      </w:pPr>
      <w:r>
        <w:rPr>
          <w:sz w:val="24"/>
          <w:b/>
        </w:rPr>
        <w:t>第八条</w:t>
      </w:r>
      <w:r>
        <w:rPr>
          <w:sz w:val="24"/>
        </w:rPr>
        <w:t>：双方确定：</w:t>
      </w:r>
    </w:p>
    <w:p>
      <w:pPr>
        <w:pStyle w:val="null3"/>
        <w:ind w:firstLine="422"/>
        <w:jc w:val="both"/>
      </w:pPr>
      <w:r>
        <w:rPr>
          <w:sz w:val="24"/>
        </w:rPr>
        <w:t>1.</w:t>
      </w:r>
      <w:r>
        <w:rPr>
          <w:sz w:val="24"/>
        </w:rPr>
        <w:t>在本合同有效期内，甲方利用乙方提交的技术服务工作成果所完成的新的技术成果，归甲方所有。</w:t>
      </w:r>
    </w:p>
    <w:p>
      <w:pPr>
        <w:pStyle w:val="null3"/>
        <w:ind w:firstLine="422"/>
        <w:jc w:val="both"/>
      </w:pPr>
      <w:r>
        <w:rPr>
          <w:sz w:val="24"/>
        </w:rPr>
        <w:t>2.</w:t>
      </w:r>
      <w:r>
        <w:rPr>
          <w:sz w:val="24"/>
        </w:rPr>
        <w:t>在本合同有效期内，乙方利用甲方提供的技术资料和工作条件所完成的新的技术成果，归甲方所有。</w:t>
      </w:r>
    </w:p>
    <w:p>
      <w:pPr>
        <w:pStyle w:val="null3"/>
        <w:ind w:firstLine="424"/>
        <w:jc w:val="both"/>
      </w:pPr>
      <w:r>
        <w:rPr>
          <w:sz w:val="24"/>
          <w:b/>
        </w:rPr>
        <w:t>第九条</w:t>
      </w:r>
      <w:r>
        <w:rPr>
          <w:sz w:val="24"/>
        </w:rPr>
        <w:t>：双方确定，按以下约定承担各自的违约责任：</w:t>
      </w:r>
    </w:p>
    <w:p>
      <w:pPr>
        <w:pStyle w:val="null3"/>
        <w:ind w:firstLine="422"/>
        <w:jc w:val="both"/>
      </w:pPr>
      <w:r>
        <w:rPr>
          <w:sz w:val="24"/>
          <w:u w:val="single"/>
        </w:rPr>
        <w:t>1.</w:t>
      </w:r>
      <w:r>
        <w:rPr>
          <w:sz w:val="24"/>
          <w:u w:val="single"/>
        </w:rPr>
        <w:t>因甲方原因，甲方未能按时提供乙方所需的基础资料和信息，以至使乙方难以按期完成各阶段工作任务，后果由甲方承担，乙方可将完成工作任务时间顺延。</w:t>
      </w:r>
    </w:p>
    <w:p>
      <w:pPr>
        <w:pStyle w:val="null3"/>
        <w:ind w:firstLine="422"/>
        <w:jc w:val="both"/>
      </w:pPr>
      <w:r>
        <w:rPr>
          <w:sz w:val="24"/>
          <w:u w:val="single"/>
        </w:rPr>
        <w:t>2.</w:t>
      </w:r>
      <w:r>
        <w:rPr>
          <w:sz w:val="24"/>
          <w:u w:val="single"/>
        </w:rPr>
        <w:t>因甲方原因，甲方未能在合同规定的时间内向乙方支付合同款，每逾期一天，甲方向乙方支付预期未付金额的1%的违约金，支付违约金总金额不超合同总金额的10%。</w:t>
      </w:r>
    </w:p>
    <w:p>
      <w:pPr>
        <w:pStyle w:val="null3"/>
        <w:ind w:firstLine="422"/>
        <w:jc w:val="both"/>
      </w:pPr>
      <w:r>
        <w:rPr>
          <w:sz w:val="24"/>
          <w:u w:val="single"/>
        </w:rPr>
        <w:t>3.</w:t>
      </w:r>
      <w:r>
        <w:rPr>
          <w:sz w:val="24"/>
          <w:u w:val="single"/>
        </w:rPr>
        <w:t>因乙方原因，未能在合同规定时间内向甲方交付项目成果，每逾期一天，乙方向甲方支付合同总费用1‰的违约金,支付违约金总金额不超项目总金额的10%。乙方逾期超过30天的，甲方有权解除本合同，乙方应在合同解除后5天内返还已收取的全部款项，并向甲方支付不超过合同总金额的10 %的违约金。</w:t>
      </w:r>
    </w:p>
    <w:p>
      <w:pPr>
        <w:pStyle w:val="null3"/>
        <w:ind w:firstLine="422"/>
        <w:jc w:val="both"/>
      </w:pPr>
      <w:r>
        <w:rPr>
          <w:sz w:val="24"/>
          <w:u w:val="single"/>
        </w:rPr>
        <w:t>4.</w:t>
      </w:r>
      <w:r>
        <w:rPr>
          <w:sz w:val="24"/>
          <w:u w:val="single"/>
        </w:rPr>
        <w:t>乙方提交项目成果不合格的，乙方应当负责无偿采取补救措施，以达到本合同约定的要求。由此造成延迟支付的，每逾期一天，乙方向甲方支付合同总费用的1‰违约金，支付违约金总金额不超过项目总金额的10%。因项目成果不符合合同约定的任何后果均由乙方承担，包括但不限于承担因此造成的直接损失赔偿责任。</w:t>
      </w:r>
    </w:p>
    <w:p>
      <w:pPr>
        <w:pStyle w:val="null3"/>
        <w:ind w:firstLine="422"/>
        <w:jc w:val="both"/>
      </w:pPr>
      <w:r>
        <w:rPr>
          <w:sz w:val="24"/>
          <w:u w:val="single"/>
        </w:rPr>
        <w:t>5.</w:t>
      </w:r>
      <w:r>
        <w:rPr>
          <w:sz w:val="24"/>
          <w:u w:val="single"/>
        </w:rPr>
        <w:t>因乙方未按时提交项目成果，或者提交项目成果质量不合格的，除按本合同第九条第１点、第２点承担责任之外，所造成的其他后果也均由乙方承担。如造成本项目剩余资金被财政部门收回的，乙方同意免除甲方支付剩余款项的义务，同时乙方仍应继续按照本合同约定及任务书要求完成本项目直至通过甲方验收。否则，乙方应向甲方退回已收取的全部款项，并向甲方支付本合同总价10％的违约金。</w:t>
      </w:r>
    </w:p>
    <w:p>
      <w:pPr>
        <w:pStyle w:val="null3"/>
        <w:ind w:firstLine="424"/>
        <w:jc w:val="both"/>
      </w:pPr>
      <w:r>
        <w:rPr>
          <w:sz w:val="24"/>
          <w:b/>
        </w:rPr>
        <w:t>第十条</w:t>
      </w:r>
      <w:r>
        <w:rPr>
          <w:sz w:val="24"/>
        </w:rPr>
        <w:t>：双方确定，在本合同有效期内，甲方指定</w:t>
      </w:r>
      <w:r>
        <w:rPr>
          <w:sz w:val="24"/>
          <w:u w:val="single"/>
        </w:rPr>
        <w:t>　　　　　　</w:t>
      </w:r>
      <w:r>
        <w:rPr>
          <w:sz w:val="24"/>
        </w:rPr>
        <w:t>为甲方项目联系人，乙方指定</w:t>
      </w:r>
      <w:r>
        <w:rPr>
          <w:sz w:val="24"/>
          <w:u w:val="single"/>
        </w:rPr>
        <w:t>　　　　　　　</w:t>
      </w:r>
      <w:r>
        <w:rPr>
          <w:sz w:val="24"/>
        </w:rPr>
        <w:t>为乙方项目联系人。项目联系人承担以下责任：</w:t>
      </w:r>
    </w:p>
    <w:p>
      <w:pPr>
        <w:pStyle w:val="null3"/>
        <w:ind w:firstLine="422"/>
        <w:jc w:val="both"/>
      </w:pPr>
      <w:r>
        <w:rPr>
          <w:sz w:val="24"/>
        </w:rPr>
        <w:t>1.</w:t>
      </w:r>
      <w:r>
        <w:rPr>
          <w:sz w:val="24"/>
          <w:u w:val="single"/>
        </w:rPr>
        <w:t>项目编制过程中的沟通、协调工作；</w:t>
      </w:r>
    </w:p>
    <w:p>
      <w:pPr>
        <w:pStyle w:val="null3"/>
        <w:ind w:firstLine="422"/>
        <w:jc w:val="both"/>
      </w:pPr>
      <w:r>
        <w:rPr>
          <w:sz w:val="24"/>
        </w:rPr>
        <w:t>2.</w:t>
      </w:r>
      <w:r>
        <w:rPr>
          <w:sz w:val="24"/>
          <w:u w:val="single"/>
        </w:rPr>
        <w:t>项目成果的报审、报批工作；</w:t>
      </w:r>
    </w:p>
    <w:p>
      <w:pPr>
        <w:pStyle w:val="null3"/>
        <w:ind w:firstLine="422"/>
        <w:jc w:val="both"/>
      </w:pPr>
      <w:r>
        <w:rPr>
          <w:sz w:val="24"/>
        </w:rPr>
        <w:t>3.</w:t>
      </w:r>
      <w:r>
        <w:rPr>
          <w:sz w:val="24"/>
          <w:u w:val="single"/>
        </w:rPr>
        <w:t>其他项目相关工作。</w:t>
      </w:r>
    </w:p>
    <w:p>
      <w:pPr>
        <w:pStyle w:val="null3"/>
        <w:ind w:firstLine="422"/>
        <w:jc w:val="both"/>
      </w:pPr>
      <w:r>
        <w:rPr>
          <w:sz w:val="24"/>
        </w:rPr>
        <w:t>一方变更项目联系人的，应当及时以书面形式通知另一方，未及时通知并影响本合同履行或造成损失的，应承担相应的责任。</w:t>
      </w:r>
    </w:p>
    <w:p>
      <w:pPr>
        <w:pStyle w:val="null3"/>
        <w:ind w:firstLine="424"/>
        <w:jc w:val="both"/>
      </w:pPr>
      <w:r>
        <w:rPr>
          <w:sz w:val="24"/>
          <w:b/>
        </w:rPr>
        <w:t>第十一条</w:t>
      </w:r>
      <w:r>
        <w:rPr>
          <w:sz w:val="24"/>
        </w:rPr>
        <w:t>：双方确定，出现下列情形，致使本合同的履行成为不必要或不可能的，可以解除本合同：</w:t>
      </w:r>
    </w:p>
    <w:p>
      <w:pPr>
        <w:pStyle w:val="null3"/>
        <w:ind w:firstLine="422"/>
        <w:jc w:val="both"/>
      </w:pPr>
      <w:r>
        <w:rPr>
          <w:sz w:val="24"/>
        </w:rPr>
        <w:t>1.</w:t>
      </w:r>
      <w:r>
        <w:rPr>
          <w:sz w:val="24"/>
          <w:u w:val="single"/>
        </w:rPr>
        <w:t>发生不可抗力；</w:t>
      </w:r>
    </w:p>
    <w:p>
      <w:pPr>
        <w:pStyle w:val="null3"/>
        <w:ind w:firstLine="422"/>
        <w:jc w:val="both"/>
      </w:pPr>
      <w:r>
        <w:rPr>
          <w:sz w:val="24"/>
        </w:rPr>
        <w:t>2.</w:t>
      </w:r>
      <w:r>
        <w:rPr>
          <w:sz w:val="24"/>
          <w:u w:val="single"/>
        </w:rPr>
        <w:t>履行期限满前，一方明确表示或者以自己的行为表明不履行合同的；</w:t>
      </w:r>
    </w:p>
    <w:p>
      <w:pPr>
        <w:pStyle w:val="null3"/>
        <w:ind w:firstLine="422"/>
        <w:jc w:val="both"/>
      </w:pPr>
      <w:r>
        <w:rPr>
          <w:sz w:val="24"/>
        </w:rPr>
        <w:t>3.</w:t>
      </w:r>
      <w:r>
        <w:rPr>
          <w:sz w:val="24"/>
          <w:u w:val="single"/>
        </w:rPr>
        <w:t>一方延迟履行合同，经催告后在合理期限内仍未履行合同的；</w:t>
      </w:r>
    </w:p>
    <w:p>
      <w:pPr>
        <w:pStyle w:val="null3"/>
        <w:ind w:firstLine="422"/>
        <w:jc w:val="both"/>
      </w:pPr>
      <w:r>
        <w:rPr>
          <w:sz w:val="24"/>
        </w:rPr>
        <w:t>4.</w:t>
      </w:r>
      <w:r>
        <w:rPr>
          <w:sz w:val="24"/>
          <w:u w:val="single"/>
        </w:rPr>
        <w:t>一方迟延履行或者有其它违约行为致使不能实现合同目的的。</w:t>
      </w:r>
    </w:p>
    <w:p>
      <w:pPr>
        <w:pStyle w:val="null3"/>
        <w:ind w:firstLine="424"/>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22"/>
        <w:jc w:val="both"/>
      </w:pPr>
      <w:r>
        <w:rPr>
          <w:sz w:val="24"/>
        </w:rPr>
        <w:t>1.</w:t>
      </w:r>
      <w:r>
        <w:rPr>
          <w:sz w:val="24"/>
        </w:rPr>
        <w:t>提交</w:t>
      </w:r>
      <w:r>
        <w:rPr>
          <w:sz w:val="24"/>
          <w:u w:val="single"/>
        </w:rPr>
        <w:t>中国广州</w:t>
      </w:r>
      <w:r>
        <w:rPr>
          <w:sz w:val="24"/>
        </w:rPr>
        <w:t>仲裁委员会仲裁；</w:t>
      </w:r>
    </w:p>
    <w:p>
      <w:pPr>
        <w:pStyle w:val="null3"/>
        <w:ind w:firstLine="422"/>
        <w:jc w:val="both"/>
      </w:pPr>
      <w:r>
        <w:rPr>
          <w:sz w:val="24"/>
        </w:rPr>
        <w:t>2.</w:t>
      </w:r>
      <w:r>
        <w:rPr>
          <w:sz w:val="24"/>
        </w:rPr>
        <w:t>依法向甲方所在地人民法院起诉。</w:t>
      </w:r>
    </w:p>
    <w:p>
      <w:pPr>
        <w:pStyle w:val="null3"/>
        <w:ind w:firstLine="424"/>
        <w:jc w:val="both"/>
      </w:pPr>
      <w:r>
        <w:rPr>
          <w:sz w:val="24"/>
          <w:b/>
        </w:rPr>
        <w:t>第十三条</w:t>
      </w:r>
      <w:r>
        <w:rPr>
          <w:sz w:val="24"/>
        </w:rPr>
        <w:t>：双方确定：本合同及相关附件中所涉及的有关名词和技术术语，其定义和解释如下：</w:t>
      </w:r>
    </w:p>
    <w:p>
      <w:pPr>
        <w:pStyle w:val="null3"/>
        <w:ind w:firstLine="422"/>
        <w:jc w:val="both"/>
      </w:pPr>
      <w:r>
        <w:rPr>
          <w:sz w:val="24"/>
        </w:rPr>
        <w:t>1.</w:t>
      </w:r>
      <w:r>
        <w:rPr>
          <w:sz w:val="24"/>
          <w:u w:val="single"/>
        </w:rPr>
        <w:t>无。</w:t>
      </w:r>
    </w:p>
    <w:p>
      <w:pPr>
        <w:pStyle w:val="null3"/>
        <w:ind w:firstLine="424"/>
        <w:jc w:val="both"/>
      </w:pPr>
      <w:r>
        <w:rPr>
          <w:sz w:val="24"/>
          <w:b/>
        </w:rPr>
        <w:t>第十四条</w:t>
      </w:r>
      <w:r>
        <w:rPr>
          <w:sz w:val="24"/>
        </w:rPr>
        <w:t>：双方约定本合同其他相关事项为：</w:t>
      </w:r>
    </w:p>
    <w:p>
      <w:pPr>
        <w:pStyle w:val="null3"/>
        <w:ind w:firstLine="422"/>
        <w:jc w:val="both"/>
      </w:pPr>
      <w:r>
        <w:rPr>
          <w:sz w:val="24"/>
          <w:u w:val="single"/>
        </w:rPr>
        <w:t>1.</w:t>
      </w:r>
      <w:r>
        <w:rPr>
          <w:sz w:val="24"/>
          <w:u w:val="single"/>
        </w:rPr>
        <w:t>本合同未尽事宜，双方应本着友好合作的原则，另行商议并写入补充条款。所有修改或补充条款都视为本合同的组成部分，具有与其它条款同等的法律效力。</w:t>
      </w:r>
    </w:p>
    <w:p>
      <w:pPr>
        <w:pStyle w:val="null3"/>
        <w:ind w:firstLine="422"/>
        <w:jc w:val="both"/>
      </w:pPr>
      <w:r>
        <w:rPr>
          <w:sz w:val="24"/>
          <w:u w:val="single"/>
        </w:rPr>
        <w:t>2.</w:t>
      </w:r>
      <w:r>
        <w:rPr>
          <w:sz w:val="24"/>
          <w:u w:val="single"/>
        </w:rPr>
        <w:t>因甲方原因，甲方未能按时提供乙方所需的基础资料和信息，以至使乙方难以按期完成各阶段工作任务，后果由甲方承担，乙方可将完成工作任务时间顺延。</w:t>
      </w:r>
    </w:p>
    <w:p>
      <w:pPr>
        <w:pStyle w:val="null3"/>
        <w:ind w:firstLine="422"/>
        <w:jc w:val="both"/>
      </w:pPr>
      <w:r>
        <w:rPr>
          <w:sz w:val="24"/>
          <w:u w:val="single"/>
        </w:rPr>
        <w:t>3.</w:t>
      </w:r>
      <w:r>
        <w:rPr>
          <w:sz w:val="24"/>
          <w:u w:val="single"/>
        </w:rPr>
        <w:t>乙方需配合甲方派驻场服务人员1~2名，驻场服务人员所需办公设备费用由乙方承担。</w:t>
      </w:r>
    </w:p>
    <w:p>
      <w:pPr>
        <w:pStyle w:val="null3"/>
        <w:ind w:firstLine="422"/>
        <w:jc w:val="both"/>
      </w:pPr>
      <w:r>
        <w:rPr>
          <w:sz w:val="24"/>
          <w:u w:val="single"/>
        </w:rPr>
        <w:t>4.</w:t>
      </w:r>
      <w:r>
        <w:rPr>
          <w:sz w:val="24"/>
          <w:u w:val="single"/>
        </w:rPr>
        <w:t>乙方不得对整个项目进行转包，不得进行分包。</w:t>
      </w:r>
    </w:p>
    <w:p>
      <w:pPr>
        <w:pStyle w:val="null3"/>
        <w:ind w:firstLine="424"/>
        <w:jc w:val="both"/>
      </w:pPr>
      <w:r>
        <w:rPr>
          <w:sz w:val="24"/>
          <w:b/>
        </w:rPr>
        <w:t>第十五条</w:t>
      </w:r>
      <w:r>
        <w:rPr>
          <w:sz w:val="24"/>
        </w:rPr>
        <w:t>：本合同一式</w:t>
      </w:r>
      <w:r>
        <w:rPr>
          <w:sz w:val="24"/>
          <w:u w:val="single"/>
        </w:rPr>
        <w:t xml:space="preserve">柒 </w:t>
      </w:r>
      <w:r>
        <w:rPr>
          <w:sz w:val="24"/>
        </w:rPr>
        <w:t>份，甲乙双方各执</w:t>
      </w:r>
      <w:r>
        <w:rPr>
          <w:sz w:val="24"/>
          <w:u w:val="single"/>
        </w:rPr>
        <w:t xml:space="preserve">叁 </w:t>
      </w:r>
      <w:r>
        <w:rPr>
          <w:sz w:val="24"/>
        </w:rPr>
        <w:t>份，采购代理机构壹份，具有同等法律效力。</w:t>
      </w:r>
    </w:p>
    <w:p>
      <w:pPr>
        <w:pStyle w:val="null3"/>
        <w:ind w:firstLine="424"/>
        <w:jc w:val="both"/>
      </w:pPr>
      <w:r>
        <w:rPr>
          <w:sz w:val="24"/>
          <w:b/>
        </w:rPr>
        <w:t>第十六条</w:t>
      </w:r>
      <w:r>
        <w:rPr>
          <w:sz w:val="24"/>
        </w:rPr>
        <w:t>：本合同经双方签字盖章后生效。</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rPr>
        <w:t>甲方：</w:t>
      </w:r>
      <w:r>
        <w:rPr>
          <w:sz w:val="24"/>
          <w:u w:val="single"/>
        </w:rPr>
        <w:t>广州市规划和自然资源局（盖章）</w:t>
      </w:r>
    </w:p>
    <w:p>
      <w:pPr>
        <w:pStyle w:val="null3"/>
        <w:jc w:val="both"/>
      </w:pPr>
      <w:r>
        <w:rPr>
          <w:sz w:val="24"/>
        </w:rPr>
        <w:t>法定代表人／委托代理人：</w:t>
      </w:r>
      <w:r>
        <w:rPr>
          <w:sz w:val="24"/>
          <w:u w:val="single"/>
        </w:rPr>
        <w:t>　　　　　　　　（签名）</w:t>
      </w:r>
      <w:r>
        <w:rPr>
          <w:sz w:val="24"/>
        </w:rPr>
        <w:t>　</w:t>
      </w:r>
    </w:p>
    <w:p>
      <w:pPr>
        <w:pStyle w:val="null3"/>
        <w:ind w:firstLine="360"/>
        <w:jc w:val="both"/>
      </w:pPr>
      <w:r>
        <w:rPr>
          <w:sz w:val="24"/>
        </w:rPr>
        <w:t>年   月   日</w:t>
      </w:r>
    </w:p>
    <w:p>
      <w:pPr>
        <w:pStyle w:val="null3"/>
        <w:jc w:val="both"/>
      </w:pPr>
      <w:r>
        <w:rPr>
          <w:sz w:val="24"/>
        </w:rPr>
        <w:t>乙方：</w:t>
      </w:r>
      <w:r>
        <w:rPr>
          <w:sz w:val="24"/>
          <w:u w:val="single"/>
        </w:rPr>
        <w:t>（盖章）</w:t>
      </w:r>
    </w:p>
    <w:p>
      <w:pPr>
        <w:pStyle w:val="null3"/>
        <w:jc w:val="both"/>
      </w:pPr>
      <w:r>
        <w:rPr>
          <w:sz w:val="24"/>
        </w:rPr>
        <w:t>法定代表人／委托代理人：</w:t>
      </w:r>
      <w:r>
        <w:rPr>
          <w:sz w:val="24"/>
          <w:u w:val="single"/>
        </w:rPr>
        <w:t>　　　　　　　　（签名）</w:t>
      </w:r>
    </w:p>
    <w:p>
      <w:pPr>
        <w:pStyle w:val="null3"/>
        <w:ind w:firstLine="360"/>
        <w:jc w:val="both"/>
      </w:pPr>
      <w:r>
        <w:rPr>
          <w:sz w:val="24"/>
        </w:rPr>
        <w:t>年   月   日</w:t>
      </w:r>
    </w:p>
    <w:p>
      <w:pPr>
        <w:pStyle w:val="null3"/>
        <w:jc w:val="left"/>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rPr>
        <w:t>印花税票粘贴处：</w:t>
      </w:r>
    </w:p>
    <w:p>
      <w:pPr>
        <w:pStyle w:val="null3"/>
        <w:jc w:val="both"/>
      </w:pPr>
      <w:r>
        <w:rPr>
          <w:sz w:val="24"/>
        </w:rPr>
        <w:t>（以下由技术合同登记机构填写）</w:t>
      </w:r>
    </w:p>
    <w:p>
      <w:pPr>
        <w:pStyle w:val="null3"/>
        <w:jc w:val="both"/>
      </w:pPr>
      <w:r>
        <w:rPr>
          <w:sz w:val="24"/>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511"/>
        <w:gridCol w:w="526"/>
        <w:gridCol w:w="526"/>
        <w:gridCol w:w="511"/>
        <w:gridCol w:w="511"/>
        <w:gridCol w:w="511"/>
        <w:gridCol w:w="496"/>
        <w:gridCol w:w="556"/>
        <w:gridCol w:w="556"/>
        <w:gridCol w:w="511"/>
        <w:gridCol w:w="511"/>
        <w:gridCol w:w="511"/>
        <w:gridCol w:w="496"/>
        <w:gridCol w:w="526"/>
        <w:gridCol w:w="526"/>
        <w:gridCol w:w="526"/>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t xml:space="preserve"> </w:t>
            </w:r>
          </w:p>
          <w:p>
            <w:pPr>
              <w:pStyle w:val="null3"/>
            </w:pPr>
            <w:r>
              <w:rPr/>
              <w:t xml:space="preserve"> </w:t>
            </w:r>
          </w:p>
          <w:p>
            <w:pPr>
              <w:pStyle w:val="null3"/>
              <w:jc w:val="center"/>
            </w:pP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w:t>
      </w:r>
      <w:r>
        <w:rPr>
          <w:sz w:val="24"/>
        </w:rPr>
        <w:t>．申请登记人：</w:t>
      </w:r>
    </w:p>
    <w:p>
      <w:pPr>
        <w:pStyle w:val="null3"/>
        <w:ind w:firstLine="425"/>
        <w:jc w:val="both"/>
      </w:pPr>
      <w:r>
        <w:rPr>
          <w:sz w:val="24"/>
        </w:rPr>
        <w:t>2</w:t>
      </w:r>
      <w:r>
        <w:rPr>
          <w:sz w:val="24"/>
        </w:rPr>
        <w:t>．登记材料：（1）</w:t>
      </w:r>
    </w:p>
    <w:p>
      <w:pPr>
        <w:pStyle w:val="null3"/>
        <w:ind w:firstLine="425"/>
        <w:jc w:val="both"/>
      </w:pPr>
      <w:r>
        <w:rPr>
          <w:sz w:val="24"/>
        </w:rPr>
        <w:t>（2）</w:t>
      </w:r>
    </w:p>
    <w:p>
      <w:pPr>
        <w:pStyle w:val="null3"/>
        <w:ind w:firstLine="425"/>
        <w:jc w:val="both"/>
      </w:pPr>
      <w:r>
        <w:rPr>
          <w:sz w:val="24"/>
        </w:rPr>
        <w:t>（3）</w:t>
      </w:r>
    </w:p>
    <w:p>
      <w:pPr>
        <w:pStyle w:val="null3"/>
        <w:ind w:firstLine="425"/>
        <w:jc w:val="both"/>
      </w:pPr>
      <w:r>
        <w:rPr>
          <w:sz w:val="24"/>
        </w:rPr>
        <w:t>3</w:t>
      </w:r>
      <w:r>
        <w:rPr>
          <w:sz w:val="24"/>
        </w:rPr>
        <w:t>．合同类型：</w:t>
      </w:r>
    </w:p>
    <w:p>
      <w:pPr>
        <w:pStyle w:val="null3"/>
        <w:ind w:firstLine="425"/>
        <w:jc w:val="both"/>
      </w:pPr>
      <w:r>
        <w:rPr>
          <w:sz w:val="24"/>
        </w:rPr>
        <w:t>4</w:t>
      </w:r>
      <w:r>
        <w:rPr>
          <w:sz w:val="24"/>
        </w:rPr>
        <w:t>．合同交易额：</w:t>
      </w:r>
    </w:p>
    <w:p>
      <w:pPr>
        <w:pStyle w:val="null3"/>
        <w:ind w:firstLine="425"/>
        <w:jc w:val="both"/>
      </w:pPr>
      <w:r>
        <w:rPr>
          <w:sz w:val="24"/>
        </w:rPr>
        <w:t>5</w:t>
      </w:r>
      <w:r>
        <w:rPr>
          <w:sz w:val="24"/>
        </w:rPr>
        <w:t>．技术交易额：</w:t>
      </w:r>
    </w:p>
    <w:p>
      <w:pPr>
        <w:pStyle w:val="null3"/>
        <w:jc w:val="both"/>
      </w:pPr>
      <w:r>
        <w:rPr>
          <w:sz w:val="24"/>
        </w:rPr>
        <w:t>技术合同登记机构（印章）</w:t>
      </w:r>
    </w:p>
    <w:p>
      <w:pPr>
        <w:pStyle w:val="null3"/>
        <w:jc w:val="right"/>
      </w:pPr>
      <w:r>
        <w:rPr>
          <w:sz w:val="24"/>
        </w:rPr>
        <w:t xml:space="preserve">经办人：      </w:t>
      </w:r>
    </w:p>
    <w:p>
      <w:pPr>
        <w:pStyle w:val="null3"/>
        <w:jc w:val="right"/>
      </w:pP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440101-2025-01950</w:t>
      </w:r>
    </w:p>
    <w:p>
      <w:pPr>
        <w:pStyle w:val="null3"/>
        <w:jc w:val="center"/>
        <w:outlineLvl w:val="3"/>
      </w:pPr>
      <w:r>
        <w:rPr>
          <w:sz w:val="24"/>
          <w:b/>
        </w:rPr>
        <w:t>采购项目编号：</w:t>
      </w:r>
      <w:r>
        <w:rPr>
          <w:sz w:val="24"/>
          <w:b/>
        </w:rPr>
        <w:t>GZCQC2500FG01007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城维计划-综合交通规划编制经费（子项12：广州市货运机场选址及临空产业园区交通支撑体系规划研究）</w:t>
      </w:r>
      <w:r>
        <w:rPr>
          <w:u w:val="single"/>
        </w:rPr>
        <w:t>”</w:t>
      </w:r>
      <w:r>
        <w:rPr/>
        <w:t>项目的招标[采购项目编号为：</w:t>
      </w:r>
      <w:r>
        <w:rPr>
          <w:u w:val="single"/>
        </w:rPr>
        <w:t>GZCQC2500FG01007</w:t>
      </w:r>
      <w:r>
        <w:rPr/>
        <w:t>]，我方愿参与投标。</w:t>
      </w:r>
    </w:p>
    <w:p>
      <w:pPr>
        <w:pStyle w:val="null3"/>
        <w:ind w:firstLine="480"/>
      </w:pPr>
      <w:r>
        <w:rPr/>
        <w:t>我方确认收到贵方提供的</w:t>
      </w:r>
      <w:r>
        <w:rPr>
          <w:u w:val="single"/>
        </w:rPr>
        <w:t>“</w:t>
      </w:r>
      <w:r>
        <w:rPr>
          <w:u w:val="single"/>
        </w:rPr>
        <w:t>城维计划-综合交通规划编制经费（子项12：广州市货运机场选址及临空产业园区交通支撑体系规划研究）</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城维计划-综合交通规划编制经费（子项12：广州市货运机场选址及临空产业园区交通支撑体系规划研究）</w:t>
      </w:r>
      <w:r>
        <w:rPr/>
        <w:t>”项目采购[采购项目编号为</w:t>
      </w:r>
      <w:r>
        <w:rPr/>
        <w:t>GZCQC2500FG01007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城维计划-综合交通规划编制经费（子项12：广州市货运机场选址及临空产业园区交通支撑体系规划研究）</w:t>
      </w:r>
      <w:r>
        <w:rPr/>
        <w:t>招标中获中标（采购项目编号：</w:t>
      </w:r>
      <w:r>
        <w:rPr/>
        <w:t>GZCQC2500FG01007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