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440101-2025-01943</w:t>
      </w:r>
    </w:p>
    <w:p>
      <w:pPr>
        <w:pStyle w:val="null3"/>
        <w:jc w:val="center"/>
        <w:outlineLvl w:val="3"/>
      </w:pPr>
      <w:r>
        <w:rPr>
          <w:sz w:val="24"/>
          <w:b/>
        </w:rPr>
        <w:t>采购项目编号：</w:t>
      </w:r>
      <w:r>
        <w:rPr>
          <w:sz w:val="24"/>
          <w:b/>
        </w:rPr>
        <w:t>GZCQC2500FG01005</w:t>
      </w:r>
    </w:p>
    <w:p>
      <w:pPr>
        <w:pStyle w:val="null3"/>
        <w:jc w:val="center"/>
        <w:outlineLvl w:val="3"/>
      </w:pPr>
      <w:r>
        <w:rPr>
          <w:sz w:val="24"/>
          <w:b/>
        </w:rPr>
        <w:t>项目名称：</w:t>
      </w:r>
      <w:r>
        <w:rPr>
          <w:sz w:val="24"/>
          <w:b/>
        </w:rPr>
        <w:t>城维计划-综合交通规划编制经费（子项8：2025年广州市交通发展年度报告及交通评价与决策分析）</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城维计划-综合交通规划编制经费（子项8：2025年广州市交通发展年度报告及交通评价与决策分析）</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城维计划-综合交通规划编制经费（子项8：2025年广州市交通发展年度报告及交通评价与决策分析）</w:t>
      </w:r>
    </w:p>
    <w:p>
      <w:pPr>
        <w:pStyle w:val="null3"/>
        <w:ind w:firstLine="480"/>
      </w:pPr>
      <w:r>
        <w:rPr/>
        <w:t>采购计划编号：</w:t>
      </w:r>
      <w:r>
        <w:rPr/>
        <w:t>440101-2025-01943</w:t>
      </w:r>
    </w:p>
    <w:p>
      <w:pPr>
        <w:pStyle w:val="null3"/>
        <w:ind w:firstLine="480"/>
      </w:pPr>
      <w:r>
        <w:rPr/>
        <w:t>采购项目编号：</w:t>
      </w:r>
      <w:r>
        <w:rPr/>
        <w:t>GZCQC2500FG01005</w:t>
      </w:r>
    </w:p>
    <w:p>
      <w:pPr>
        <w:pStyle w:val="null3"/>
        <w:ind w:firstLine="480"/>
      </w:pPr>
      <w:r>
        <w:rPr/>
        <w:t>采购方式：</w:t>
      </w:r>
      <w:r>
        <w:rPr/>
        <w:t>公开招标</w:t>
      </w:r>
    </w:p>
    <w:p>
      <w:pPr>
        <w:pStyle w:val="null3"/>
        <w:ind w:firstLine="480"/>
      </w:pPr>
      <w:r>
        <w:rPr/>
        <w:t>预算金额：</w:t>
      </w:r>
      <w:r>
        <w:rPr/>
        <w:t>3,900,000.00</w:t>
      </w:r>
      <w:r>
        <w:rPr/>
        <w:t>元</w:t>
      </w:r>
    </w:p>
    <w:p>
      <w:pPr>
        <w:pStyle w:val="null3"/>
        <w:outlineLvl w:val="3"/>
      </w:pPr>
      <w:r>
        <w:rPr>
          <w:sz w:val="24"/>
          <w:b/>
        </w:rPr>
        <w:t>2.项目内容及需求情况（采购项目技术规格、参数及要求）</w:t>
      </w:r>
    </w:p>
    <w:p>
      <w:pPr>
        <w:pStyle w:val="null3"/>
      </w:pPr>
      <w:r>
        <w:rPr/>
        <w:t>采购包1(城维计划-综合交通规划编制经费（子项8：2025年广州市交通发展年度报告及交通评价与决策分析）):</w:t>
      </w:r>
    </w:p>
    <w:p>
      <w:pPr>
        <w:pStyle w:val="null3"/>
      </w:pPr>
      <w:r>
        <w:rPr/>
        <w:t>采购包预算金额：3,900,000.00元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城维计划-综合交通规划编制经费（子项8：2025年广州市交通发展年度报告及交通评价与决策分析）</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采购包1（城维计划-综合交通规划编制经费（子项8：2025年广州市交通发展年度报告及交通评价与决策分析））：</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采购包1（城维计划-综合交通规划编制经费（子项8：2025年广州市交通发展年度报告及交通评价与决策分析））：</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020-83379611</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538"/>
        <w:gridCol w:w="1148"/>
        <w:gridCol w:w="3620"/>
      </w:tblGrid>
      <w:tr>
        <w:tc>
          <w:tcPr>
            <w:tcW w:type="dxa" w:w="353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6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（人民币/元）</w:t>
            </w:r>
          </w:p>
        </w:tc>
      </w:tr>
      <w:tr>
        <w:tc>
          <w:tcPr>
            <w:tcW w:type="dxa" w:w="353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城维计划-综合交通规划编制经费（子项8：2025年广州市交通发展年度报告及交通评价与决策分析）</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6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3,900,000.00（其中2025年预算安排人民币2,340,000.00元，2026年预算拟安排人民币1.560,000.00元，具体以财政局批复下达的资金为准。）</w:t>
            </w:r>
          </w:p>
        </w:tc>
      </w:tr>
    </w:tbl>
    <w:p>
      <w:pPr>
        <w:pStyle w:val="null3"/>
      </w:pPr>
      <w:r>
        <w:rPr/>
        <w:t>采购包1（城维计划-综合交通规划编制经费（子项8：2025年广州市交通发展年度报告及交通评价与决策分析））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第1期为(预付款)：支付比例40%，签订合同后，采购人自收到发票后5个工作日内向中标人支付本项目合同总金额的40%。预计在2025年3月31日前支付第一期费用。</w:t>
            </w:r>
          </w:p>
          <w:p>
            <w:pPr>
              <w:pStyle w:val="null3"/>
            </w:pPr>
            <w:r>
              <w:rPr/>
              <w:t>第2期为(进度款)：支付比例20%，2025年9月30日前，中标人按期完成规划成果，并通过专家评审后申请拨付合同经费，合同总金额的20%。预计在2025年9月30日前支付第二期费用。</w:t>
            </w:r>
          </w:p>
          <w:p>
            <w:pPr>
              <w:pStyle w:val="null3"/>
            </w:pPr>
            <w:r>
              <w:rPr/>
              <w:t>第3期为(尾款)：支付比例40%，2026年4月30日前，中标人根据采购人审查意见修改规划成果。最终成果经采购人验收通过并出具结题函，待成果归档后申请拨付合同经费，合同总金额的40%。预计在2026年4月30日前支付第三期费用。 注： （1）对于满足合同支付条件的，采购人原则上应当在收到发票后5个工作日内按照《广州市本级财政直接支付用款申请办事指南》办理支付手续。 （2）每次按合同支付款项前，中标人应向采购人提供与支付金额相符的有效发票，且收款方、出具发票方、合同乙方均必须与中标人名称一致。 （3）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1.中标人完成技术服务工作的形式：本项工作采取分阶段评审的方式，广州市规划和自然资源局负责组织审查工作。 2.技术服务工作成果的验收标准：符合项目任务书研究内容的要求，且通过采购人组织的专家审查会审查。 3.技术服务工作成果的验收方法：研究成果由广州市规划和自然资源局组织审查；项目承担单位负责提供审查和验收所必须的研究成果和汇报资料。 4.验收的时间和地点：由采购人决定。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城维计划-综合交通规划编制经费（子项8：2025年广州市交通发展年度报告及交通评价与决策分析）</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3,900,000.00</w:t>
            </w:r>
          </w:p>
        </w:tc>
        <w:tc>
          <w:tcPr>
            <w:tcW w:type="dxa" w:w="933"/>
          </w:tcPr>
          <w:p>
            <w:pPr>
              <w:pStyle w:val="null3"/>
              <w:jc w:val="right"/>
            </w:pPr>
            <w:r>
              <w:rPr/>
              <w:t>3,900,000.00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城维计划-综合交通规划编制经费（子项8：2025年广州市交通发展年度报告及交通评价与决策分析）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一、项目背景</w:t>
            </w:r>
          </w:p>
          <w:p>
            <w:pPr>
              <w:pStyle w:val="null3"/>
              <w:ind w:firstLine="482"/>
              <w:jc w:val="both"/>
            </w:pPr>
            <w:r>
              <w:rPr>
                <w:sz w:val="24"/>
                <w:b/>
                <w:color w:val="000000"/>
              </w:rPr>
              <w:t>（一）是系统性梳理“十四五”收官之年交通发展情况并跟踪监测上位规划的重要抓手</w:t>
            </w:r>
          </w:p>
          <w:p>
            <w:pPr>
              <w:pStyle w:val="null3"/>
              <w:ind w:firstLine="480"/>
              <w:jc w:val="both"/>
            </w:pPr>
            <w:r>
              <w:rPr>
                <w:sz w:val="24"/>
                <w:color w:val="000000"/>
              </w:rPr>
              <w:t>2025</w:t>
            </w:r>
            <w:r>
              <w:rPr>
                <w:sz w:val="24"/>
                <w:color w:val="000000"/>
              </w:rPr>
              <w:t>年是“十四五”规划的收官之年，广州市在“十四五”期间提出了万亿固投计划，旨在通过固定资产投资推动城市基础设施建设，特别是交通基础设施的完善和升级，这对于提升广州市交通网络的服务能力和效率，实现交通系统的现代化具有重要作用。因此有必要总结“十四五”成果、研判“十五五”的重点发展方向和任务，确保城市交通可持续发展、提升城市竞争力。同时，2024年《广州市国土空间总体规划（2021-2035年）》获国务院批复、《广州市综合交通体系规划（2023—2035年）》和《广州市综合立体交通网规划（2023－2035年）》印发实施，为确保“一张蓝图干到底”，促进规划实施，有必要开展年度交通评价和决策分析，跟踪规划实成效，强化交通系统在城市空间布局中的核心作用，保障规划逐年评价及实施。</w:t>
            </w:r>
          </w:p>
          <w:p>
            <w:pPr>
              <w:pStyle w:val="null3"/>
              <w:ind w:firstLine="482"/>
              <w:jc w:val="both"/>
            </w:pPr>
            <w:r>
              <w:rPr>
                <w:sz w:val="24"/>
                <w:b/>
                <w:color w:val="000000"/>
              </w:rPr>
              <w:t>（二）是摸清交通底数、支撑交通规划决策的必然要求</w:t>
            </w:r>
          </w:p>
          <w:p>
            <w:pPr>
              <w:pStyle w:val="null3"/>
              <w:ind w:firstLine="480"/>
              <w:jc w:val="both"/>
            </w:pPr>
            <w:r>
              <w:rPr>
                <w:sz w:val="24"/>
                <w:color w:val="000000"/>
              </w:rPr>
              <w:t>总</w:t>
            </w:r>
            <w:r>
              <w:rPr>
                <w:sz w:val="24"/>
                <w:color w:val="FFFFFF"/>
              </w:rPr>
              <w:t>一</w:t>
            </w:r>
            <w:r>
              <w:rPr>
                <w:sz w:val="24"/>
                <w:color w:val="000000"/>
              </w:rPr>
              <w:t>书记强调用好调查研究这一“传家宝”，指出：“调查研究是我们党的传家宝，是做好各项工作的基本功”、“没有调查，就没有发言权，更没有决策权”、“出台政策措施要深入调查研究，摸清底数”。2023年3月，中共中央办公厅印发《关于在全党大兴调查研究的工作方案》，提出“在全党大兴调查研究，要紧紧围绕全面贯彻落实党的二十大精神、推动高质量发展，直奔问题去，实行问题大梳理、难题大排查，着力打通贯彻执行中的堵点淤点难点”。</w:t>
            </w:r>
          </w:p>
          <w:p>
            <w:pPr>
              <w:pStyle w:val="null3"/>
              <w:ind w:firstLine="480"/>
              <w:jc w:val="both"/>
            </w:pPr>
            <w:r>
              <w:rPr>
                <w:sz w:val="24"/>
                <w:color w:val="000000"/>
              </w:rPr>
              <w:t>交通年报是一份反映广州市年度交通发展情况的综合报告，是加强信息公开、提高交通规划管理实施的重要手段，将为年报的受众提供权威、管用、好用的“交通信息”，是政府部门进行交通问题决策的重要参考资料，是社会公众了解、参与广州交通发展的主要途径。同时，交通年报将顺应新的形势，继续为高质量发展保驾护航，充分发挥交通年报的调查优势、数据优势，深化调查研究推动解决发展难题，找准广州交通内在发展规律，为我市交通规划管理工作提供新的着力点和突破口，定量支撑各类规划决策项目和领导交办任务，以及成为我市制定交通发展策略、监测评估政策实施效果（包括重大交通建设项目落地实施情况）的重要参考，促进交通与空间、产业融合协调发展。</w:t>
            </w:r>
          </w:p>
          <w:p>
            <w:pPr>
              <w:pStyle w:val="null3"/>
              <w:ind w:firstLine="482"/>
              <w:jc w:val="both"/>
            </w:pPr>
            <w:r>
              <w:rPr>
                <w:sz w:val="24"/>
                <w:b/>
                <w:color w:val="000000"/>
              </w:rPr>
              <w:t>（三）是支撑区域协调规划、提升城市治理能力现代化的工作要求</w:t>
            </w:r>
          </w:p>
          <w:p>
            <w:pPr>
              <w:pStyle w:val="null3"/>
              <w:ind w:firstLine="480"/>
              <w:jc w:val="both"/>
            </w:pPr>
            <w:r>
              <w:rPr>
                <w:sz w:val="24"/>
                <w:color w:val="000000"/>
              </w:rPr>
              <w:t>总</w:t>
            </w:r>
            <w:r>
              <w:rPr>
                <w:sz w:val="24"/>
                <w:color w:val="FFFFFF"/>
              </w:rPr>
              <w:t>一</w:t>
            </w:r>
            <w:r>
              <w:rPr>
                <w:sz w:val="24"/>
                <w:color w:val="000000"/>
              </w:rPr>
              <w:t>书记指出“规划科学是最大的效益，规划失误是最大的浪费”，开展交通评价和规划决策分析有助于提升规划的科学性和指导性，是加强城市治理体系和治理能力现代化中的一环。党的二十大报告强调“促进区域协调发展。深入实施区域协调发展战略、区域重大战略、主体功能区战略、新型城镇化战略”以及“以城市群、都市圈为依托构建大中小城市协调发展格局”，都市圈成为区域协调发展和空间治理现代化的重要抓手，需要加强对都市圈层面的交通特征进行监测和评价。中国共产党广东省第十三次代表大会报告指出：“要提升城市功能品质，下足‘绣花功夫’，提高规划建设管理水平，建设宜居、创新、智慧、绿色、人文、韧性城市”，交通评价与决策分析是提高规划建设管理水平的重要手段和技术方法。</w:t>
            </w:r>
          </w:p>
          <w:p>
            <w:pPr>
              <w:pStyle w:val="null3"/>
              <w:ind w:firstLine="482"/>
              <w:jc w:val="both"/>
            </w:pPr>
            <w:r>
              <w:rPr>
                <w:sz w:val="24"/>
                <w:b/>
                <w:color w:val="000000"/>
              </w:rPr>
              <w:t>（四）提升交通规划决策管理效率的要求</w:t>
            </w:r>
          </w:p>
          <w:p>
            <w:pPr>
              <w:pStyle w:val="null3"/>
              <w:ind w:firstLine="480"/>
              <w:jc w:val="both"/>
            </w:pPr>
            <w:r>
              <w:rPr>
                <w:sz w:val="24"/>
                <w:color w:val="000000"/>
              </w:rPr>
              <w:t>总</w:t>
            </w:r>
            <w:r>
              <w:rPr>
                <w:sz w:val="24"/>
                <w:color w:val="FFFFFF"/>
              </w:rPr>
              <w:t>一</w:t>
            </w:r>
            <w:r>
              <w:rPr>
                <w:sz w:val="24"/>
                <w:color w:val="000000"/>
              </w:rPr>
              <w:t>书记指出，“交通是现代城市的血脉，血脉畅通，城市才能健康发展。”“一定要抓住人民最关心最直接最现实的利益问题，坚持把人民群众关心的事当作自己的大事，从人民群众关心的事情做起，多谋民生之利，多解民生之忧。”在城市和交通规划过程中，经常会遇到需要开展专题研究的热点、难点和重点问题，为保障交通规划决策的科学性、合理性，及时响应和解决交通规划管理过程中遇到的技术问题，支撑着经济社会高质量发展，有必要对此类问题开展专题研究，请专业技术团队为交通规划决策保价护航。</w:t>
            </w:r>
          </w:p>
          <w:p>
            <w:pPr>
              <w:pStyle w:val="null3"/>
              <w:ind w:firstLine="480"/>
              <w:jc w:val="both"/>
            </w:pPr>
            <w:r>
              <w:rPr>
                <w:sz w:val="24"/>
                <w:color w:val="000000"/>
              </w:rPr>
              <w:t>根据上述的相关文件精神，结合广州市交通规划实际工作情况，广州市规划和自然资源局计划组织开展《2025年广州市交通发展年度报告及交通评价与决策分析》编制工作。</w:t>
            </w:r>
          </w:p>
        </w:tc>
      </w:tr>
      <w:tr>
        <w:tc>
          <w:tcPr>
            <w:tcW w:type="dxa" w:w="2076"/>
          </w:tcPr>
          <w:p/>
        </w:tc>
        <w:tc>
          <w:tcPr>
            <w:tcW w:type="dxa" w:w="415"/>
          </w:tcPr>
          <w:p>
            <w:pPr>
              <w:pStyle w:val="null3"/>
            </w:pPr>
            <w:r>
              <w:rPr/>
              <w:t>2</w:t>
            </w:r>
          </w:p>
        </w:tc>
        <w:tc>
          <w:tcPr>
            <w:tcW w:type="dxa" w:w="5814"/>
          </w:tcPr>
          <w:p>
            <w:pPr>
              <w:pStyle w:val="null3"/>
              <w:jc w:val="both"/>
            </w:pPr>
            <w:r>
              <w:rPr>
                <w:sz w:val="24"/>
                <w:b/>
              </w:rPr>
              <w:t>二、工作范围、年限及深度</w:t>
            </w:r>
          </w:p>
          <w:p>
            <w:pPr>
              <w:pStyle w:val="null3"/>
              <w:ind w:firstLine="480"/>
              <w:jc w:val="both"/>
            </w:pPr>
            <w:r>
              <w:rPr>
                <w:sz w:val="24"/>
              </w:rPr>
              <w:t>重点范围为粤港澳大湾区，包含珠三角9市及香港、澳门；详细范围为广州大都市圈，主要是广州对外1小时通勤圈；核心范围为广州市域范围，包含11个区</w:t>
            </w:r>
          </w:p>
          <w:p>
            <w:pPr>
              <w:pStyle w:val="null3"/>
              <w:ind w:firstLine="482"/>
              <w:jc w:val="both"/>
            </w:pPr>
            <w:r>
              <w:rPr>
                <w:sz w:val="24"/>
                <w:b/>
              </w:rPr>
              <w:t>1、研究年限</w:t>
            </w:r>
          </w:p>
          <w:p>
            <w:pPr>
              <w:pStyle w:val="null3"/>
              <w:ind w:firstLine="480"/>
              <w:jc w:val="both"/>
            </w:pPr>
            <w:r>
              <w:rPr>
                <w:sz w:val="24"/>
              </w:rPr>
              <w:t>2025年。</w:t>
            </w:r>
          </w:p>
          <w:p>
            <w:pPr>
              <w:pStyle w:val="null3"/>
              <w:ind w:firstLine="482"/>
              <w:jc w:val="both"/>
            </w:pPr>
            <w:r>
              <w:rPr>
                <w:sz w:val="24"/>
                <w:b/>
              </w:rPr>
              <w:t>2、研究深度</w:t>
            </w:r>
          </w:p>
          <w:p>
            <w:pPr>
              <w:pStyle w:val="null3"/>
              <w:ind w:firstLine="480"/>
              <w:jc w:val="both"/>
            </w:pPr>
            <w:r>
              <w:rPr>
                <w:sz w:val="24"/>
              </w:rPr>
              <w:t>需达到城市年度体检深度要求、城市交通规划辅助决策深度要求以及满足广州市地方标准《城市交通可持续发展评估指标体系（DB4401/T 279—2024）》的要求。</w:t>
            </w:r>
          </w:p>
        </w:tc>
      </w:tr>
      <w:tr>
        <w:tc>
          <w:tcPr>
            <w:tcW w:type="dxa" w:w="2076"/>
          </w:tcPr>
          <w:p/>
        </w:tc>
        <w:tc>
          <w:tcPr>
            <w:tcW w:type="dxa" w:w="415"/>
          </w:tcPr>
          <w:p>
            <w:pPr>
              <w:pStyle w:val="null3"/>
            </w:pPr>
            <w:r>
              <w:rPr/>
              <w:t>3</w:t>
            </w:r>
          </w:p>
        </w:tc>
        <w:tc>
          <w:tcPr>
            <w:tcW w:type="dxa" w:w="5814"/>
          </w:tcPr>
          <w:p>
            <w:pPr>
              <w:pStyle w:val="null3"/>
              <w:jc w:val="both"/>
            </w:pPr>
            <w:r>
              <w:rPr>
                <w:sz w:val="24"/>
                <w:b/>
              </w:rPr>
              <w:t>三、编制原则</w:t>
            </w:r>
          </w:p>
          <w:p>
            <w:pPr>
              <w:pStyle w:val="null3"/>
              <w:ind w:firstLine="480"/>
              <w:jc w:val="both"/>
            </w:pPr>
            <w:r>
              <w:rPr>
                <w:sz w:val="24"/>
              </w:rPr>
              <w:t>1、科学性原则：承接单位应以规划相关的法律法规文件、会议纪要、规范及技术标准为工作依据，确保服务工作的科学、严谨、专业。</w:t>
            </w:r>
          </w:p>
          <w:p>
            <w:pPr>
              <w:pStyle w:val="null3"/>
              <w:ind w:firstLine="480"/>
              <w:jc w:val="both"/>
            </w:pPr>
            <w:r>
              <w:rPr>
                <w:sz w:val="24"/>
              </w:rPr>
              <w:t>2、衔接规划原则：工作应充分结合城市规划的国土空间总体规划、控制性详细规划以及城市综合交通规划等专项规划成果，确保规划意图的实现，与城市规划相衔接。</w:t>
            </w:r>
          </w:p>
          <w:p>
            <w:pPr>
              <w:pStyle w:val="null3"/>
              <w:ind w:firstLine="480"/>
              <w:jc w:val="both"/>
            </w:pPr>
            <w:r>
              <w:rPr>
                <w:sz w:val="24"/>
              </w:rPr>
              <w:t>3、时效性原则：承接单位应在指定时限内完成相应的工作并按时提交工作成果，为委托方提供及时、有效的咨询服务。</w:t>
            </w:r>
          </w:p>
          <w:p>
            <w:pPr>
              <w:pStyle w:val="null3"/>
              <w:ind w:firstLine="480"/>
              <w:jc w:val="both"/>
            </w:pPr>
            <w:r>
              <w:rPr>
                <w:sz w:val="24"/>
              </w:rPr>
              <w:t>4、数据来源全面可靠原则。承接单位在开展成果编制时，应当通过数据多源校核确保数据源的可靠性和准确性。</w:t>
            </w:r>
          </w:p>
          <w:p>
            <w:pPr>
              <w:pStyle w:val="null3"/>
              <w:ind w:firstLine="480"/>
              <w:jc w:val="both"/>
            </w:pPr>
            <w:r>
              <w:rPr>
                <w:sz w:val="24"/>
              </w:rPr>
              <w:t>5、定性与定量相结合原则。定性分析和定量分析具有统一性，对于城市规划和政策的分析离不开基于大数据的定量评估，也离不开基于经验总结的定性判断，两者各自反映了同一事物的不同侧面，承接单位在开展成果编制时需要定性分析与定量分析相结合。</w:t>
            </w:r>
          </w:p>
        </w:tc>
      </w:tr>
      <w:tr>
        <w:tc>
          <w:tcPr>
            <w:tcW w:type="dxa" w:w="2076"/>
          </w:tcPr>
          <w:p/>
        </w:tc>
        <w:tc>
          <w:tcPr>
            <w:tcW w:type="dxa" w:w="415"/>
          </w:tcPr>
          <w:p>
            <w:pPr>
              <w:pStyle w:val="null3"/>
            </w:pPr>
            <w:r>
              <w:rPr/>
              <w:t>4</w:t>
            </w:r>
          </w:p>
        </w:tc>
        <w:tc>
          <w:tcPr>
            <w:tcW w:type="dxa" w:w="5814"/>
          </w:tcPr>
          <w:p>
            <w:pPr>
              <w:pStyle w:val="null3"/>
              <w:jc w:val="both"/>
            </w:pPr>
            <w:r>
              <w:rPr>
                <w:sz w:val="24"/>
                <w:b/>
              </w:rPr>
              <w:t>四、编制内容</w:t>
            </w:r>
          </w:p>
          <w:p>
            <w:pPr>
              <w:pStyle w:val="null3"/>
              <w:ind w:firstLine="480"/>
              <w:jc w:val="both"/>
            </w:pPr>
            <w:r>
              <w:rPr>
                <w:sz w:val="24"/>
              </w:rPr>
              <w:t>项目主要内容划分为大数据采集与处理、年度现状交通评价、年度规划决策分析、年度交通热点和重难点问题分析等。具体内容如下：</w:t>
            </w:r>
          </w:p>
          <w:p>
            <w:pPr>
              <w:pStyle w:val="null3"/>
              <w:ind w:firstLine="482"/>
              <w:jc w:val="both"/>
            </w:pPr>
            <w:r>
              <w:rPr>
                <w:sz w:val="24"/>
                <w:b/>
              </w:rPr>
              <w:t>1、大数据采集与处理</w:t>
            </w:r>
          </w:p>
          <w:p>
            <w:pPr>
              <w:pStyle w:val="null3"/>
              <w:ind w:firstLine="480"/>
              <w:jc w:val="both"/>
            </w:pPr>
            <w:r>
              <w:rPr>
                <w:sz w:val="24"/>
              </w:rPr>
              <w:t>对手机信令数据、互联网位置大数据、交通调查数据、道路卡口数据、IC卡数据等多源大数据开展数据采集、挖掘与处理，并对广州市交通模型进行年度更新。</w:t>
            </w:r>
          </w:p>
          <w:p>
            <w:pPr>
              <w:pStyle w:val="null3"/>
              <w:ind w:firstLine="482"/>
              <w:jc w:val="both"/>
            </w:pPr>
            <w:r>
              <w:rPr>
                <w:sz w:val="24"/>
                <w:b/>
              </w:rPr>
              <w:t>2、年度现状交通评价</w:t>
            </w:r>
          </w:p>
          <w:p>
            <w:pPr>
              <w:pStyle w:val="null3"/>
              <w:ind w:firstLine="480"/>
              <w:jc w:val="both"/>
            </w:pPr>
            <w:r>
              <w:rPr>
                <w:sz w:val="24"/>
              </w:rPr>
              <w:t>从枢纽交通、区域交通、需求与供应、道路和轨道“两张网”运行及可持续发展等维度对年度交通情况开展评价，总结运行特征及存在问题。具体包括：</w:t>
            </w:r>
          </w:p>
          <w:p>
            <w:pPr>
              <w:pStyle w:val="null3"/>
              <w:ind w:firstLine="480"/>
              <w:jc w:val="both"/>
            </w:pPr>
            <w:r>
              <w:rPr>
                <w:sz w:val="24"/>
              </w:rPr>
              <w:t>（1）年度交通发展综述。对广州市2025年度及“十四五”期间交通发展情况进行全面总结，提出发展趋势与相关建议。</w:t>
            </w:r>
          </w:p>
          <w:p>
            <w:pPr>
              <w:pStyle w:val="null3"/>
              <w:ind w:firstLine="480"/>
              <w:jc w:val="both"/>
            </w:pPr>
            <w:r>
              <w:rPr>
                <w:sz w:val="24"/>
              </w:rPr>
              <w:t>（2）国际综合交通枢纽。基于广州市建设国际综合交通枢纽的发展目标，对广州市航空、航运、铁路、公路等对外交通的发展情况进行评估分析。</w:t>
            </w:r>
          </w:p>
          <w:p>
            <w:pPr>
              <w:pStyle w:val="null3"/>
              <w:ind w:firstLine="480"/>
              <w:jc w:val="both"/>
            </w:pPr>
            <w:r>
              <w:rPr>
                <w:sz w:val="24"/>
              </w:rPr>
              <w:t>（3）广州与大湾区（含南沙与大湾区）。基于大湾区发展目标及广州城市定位，对广州与大湾区城市间的交通发展状况进行评估分析，以及对南沙对外交通评估。</w:t>
            </w:r>
          </w:p>
          <w:p>
            <w:pPr>
              <w:pStyle w:val="null3"/>
              <w:ind w:firstLine="480"/>
              <w:jc w:val="both"/>
            </w:pPr>
            <w:r>
              <w:rPr>
                <w:sz w:val="24"/>
              </w:rPr>
              <w:t>（4）城市交通需求与供应。对广州市的人口、经济、机动车发展、交通需求特征、交通基础设施等发展情况进行总结分析，评价职住平衡、中心城区非核心功能疏解、交通用地效率以及综合交通与城市空间的协同程度。</w:t>
            </w:r>
          </w:p>
          <w:p>
            <w:pPr>
              <w:pStyle w:val="null3"/>
              <w:ind w:firstLine="480"/>
              <w:jc w:val="both"/>
            </w:pPr>
            <w:r>
              <w:rPr>
                <w:sz w:val="24"/>
              </w:rPr>
              <w:t>（5）道路空间利用。从时空等角度对广州市各圈层道路交通流量分布、道路交通运作、慢行发展情况等进行总结分析，分析道路交通拥堵和交通承载力情况。</w:t>
            </w:r>
          </w:p>
          <w:p>
            <w:pPr>
              <w:pStyle w:val="null3"/>
              <w:ind w:firstLine="480"/>
              <w:jc w:val="both"/>
            </w:pPr>
            <w:r>
              <w:rPr>
                <w:sz w:val="24"/>
              </w:rPr>
              <w:t>（6）公交都市建设。对广州市公共交通的总体特征及轨道交通、常规公交、辅助型公共交通等的发展情况进行总结分析，以及对城际和城市轨道低效站点评价分析。</w:t>
            </w:r>
          </w:p>
          <w:p>
            <w:pPr>
              <w:pStyle w:val="null3"/>
              <w:ind w:firstLine="480"/>
              <w:jc w:val="both"/>
            </w:pPr>
            <w:r>
              <w:rPr>
                <w:sz w:val="24"/>
              </w:rPr>
              <w:t>（7）城市交通综合治理。对广州市交通安全、交通管理、交通环境、低碳交通的发展情况进行总结分析。</w:t>
            </w:r>
          </w:p>
          <w:p>
            <w:pPr>
              <w:pStyle w:val="null3"/>
              <w:ind w:firstLine="480"/>
              <w:jc w:val="both"/>
            </w:pPr>
            <w:r>
              <w:rPr>
                <w:sz w:val="24"/>
              </w:rPr>
              <w:t>（8）货运物流发展。对航空、航运、铁路和公路等的货物运输发展情况进行总结分析。</w:t>
            </w:r>
          </w:p>
          <w:p>
            <w:pPr>
              <w:pStyle w:val="null3"/>
              <w:ind w:firstLine="480"/>
              <w:jc w:val="both"/>
            </w:pPr>
            <w:r>
              <w:rPr>
                <w:sz w:val="24"/>
              </w:rPr>
              <w:t>（9）广州市可持续发展指标评估，基于广州市地方标准《城市交通可持续发展评估指标体系（DB4401/T 279—2024）》，开展广州市可持续发展指标评估，包括人本出行、绿色低碳、服务有力等层面的定量评估。</w:t>
            </w:r>
          </w:p>
          <w:p>
            <w:pPr>
              <w:pStyle w:val="null3"/>
              <w:ind w:firstLine="482"/>
              <w:jc w:val="both"/>
            </w:pPr>
            <w:r>
              <w:rPr>
                <w:sz w:val="24"/>
                <w:b/>
              </w:rPr>
              <w:t>3、年度规划决策分析</w:t>
            </w:r>
          </w:p>
          <w:p>
            <w:pPr>
              <w:pStyle w:val="null3"/>
              <w:ind w:firstLine="480"/>
              <w:jc w:val="both"/>
            </w:pPr>
            <w:r>
              <w:rPr>
                <w:sz w:val="24"/>
              </w:rPr>
              <w:t>结合城市交通发展趋势，从重点发展极核跟踪分析、黄金内湾发展等方面开展年度规划决策分析，研判城市发展热点和重难点，包括但不限于以下主要内容：</w:t>
            </w:r>
          </w:p>
          <w:p>
            <w:pPr>
              <w:pStyle w:val="null3"/>
              <w:ind w:firstLine="480"/>
              <w:jc w:val="both"/>
            </w:pPr>
            <w:r>
              <w:rPr>
                <w:sz w:val="24"/>
              </w:rPr>
              <w:t>（1）城市交通发展趋势研判：基于城市交通模型对城市交通发展趋势进行研判，提出城市交通发展关注的热点和重难点问题。</w:t>
            </w:r>
          </w:p>
          <w:p>
            <w:pPr>
              <w:pStyle w:val="null3"/>
              <w:ind w:firstLine="480"/>
              <w:jc w:val="both"/>
            </w:pPr>
            <w:r>
              <w:rPr>
                <w:sz w:val="24"/>
              </w:rPr>
              <w:t>（2）国土空间规划“三核四极”交通发展特征跟踪。对东部中心、南沙新区两大极核的交通发展进行跟踪，包括人口岗位、交通客流、方式特征等方面的发展情况，提出促进两大极核交通加快发展的策略建议。</w:t>
            </w:r>
          </w:p>
          <w:p>
            <w:pPr>
              <w:pStyle w:val="null3"/>
              <w:ind w:firstLine="480"/>
              <w:jc w:val="both"/>
            </w:pPr>
            <w:r>
              <w:rPr>
                <w:sz w:val="24"/>
              </w:rPr>
              <w:t>（3）黄金内湾交通发展特征分析。对黄金内湾交通发展特征进行跟踪分析，研判黄金内湾交通发展态势，为黄金内湾规划提供决策支撑。</w:t>
            </w:r>
          </w:p>
          <w:p>
            <w:pPr>
              <w:pStyle w:val="null3"/>
              <w:ind w:firstLine="480"/>
              <w:jc w:val="both"/>
            </w:pPr>
            <w:r>
              <w:rPr>
                <w:sz w:val="24"/>
              </w:rPr>
              <w:t>（4）新城交通规划落地效果分析。重点对琶洲西区互联网集聚区、白云设计之都、番禺万博等建成新城试行的小街区密路网、地下环路等新理念开展运行效果评价检讨，总结经验教训，指导新时期的新城交通系统规划建设。</w:t>
            </w:r>
          </w:p>
          <w:p>
            <w:pPr>
              <w:pStyle w:val="null3"/>
              <w:ind w:firstLine="482"/>
              <w:jc w:val="both"/>
            </w:pPr>
            <w:r>
              <w:rPr>
                <w:sz w:val="24"/>
                <w:b/>
              </w:rPr>
              <w:t>4、年度交通热点和重难点问题分析</w:t>
            </w:r>
          </w:p>
          <w:p>
            <w:pPr>
              <w:pStyle w:val="null3"/>
              <w:ind w:firstLine="480"/>
              <w:jc w:val="both"/>
            </w:pPr>
            <w:r>
              <w:rPr>
                <w:sz w:val="24"/>
              </w:rPr>
              <w:t>基于年度现状交通评价和规划决策分析成果，结合近期城市和交通发展的重点方向，提前研判近期交通发展存在的重点问题并进行分析，为规划决策提供支撑。具体内容可结合规划管理重点工作适度调整，拟定2025年重点问题研判内容包括但不限于以下主要内容：</w:t>
            </w:r>
          </w:p>
          <w:p>
            <w:pPr>
              <w:pStyle w:val="null3"/>
              <w:ind w:firstLine="480"/>
              <w:jc w:val="both"/>
            </w:pPr>
            <w:r>
              <w:rPr>
                <w:sz w:val="24"/>
              </w:rPr>
              <w:t>（1）骨架轨网成型背景下广州市常规公交高质量发展规划策略研究。随着2025年多条在建线路的开通，广州市骨架轨道线网“环线+放射线+X线”的骨架结构即将成型，有必要重新审视常规公交线网在骨架轨网成型背景下的适应性。具体包括：①广州市公共交通发展特征与趋势研判；②公交转型发展国际经验；③常规公交与轨道交通线网适配性与协同性分析；④公共交通发展策略研究。</w:t>
            </w:r>
          </w:p>
          <w:p>
            <w:pPr>
              <w:pStyle w:val="null3"/>
              <w:ind w:firstLine="480"/>
              <w:jc w:val="both"/>
            </w:pPr>
            <w:r>
              <w:rPr>
                <w:sz w:val="24"/>
              </w:rPr>
              <w:t>（2）广州市道路网络韧性分析及优化策略研究。基于近年来公共卫生事件、极端天气、施工事故和突发事件等频发对道路网络的扰动影响，建立交通韧性评价指标体系，结合十四五期间道路网络韧性评估，分析存在问题并对十五五道路网络规划提出优化建议。内容包括：①韧性评价指标体系构建。②现状路网韧性评价及影响因素分析。③路网韧性提升策略研究。</w:t>
            </w:r>
          </w:p>
          <w:p>
            <w:pPr>
              <w:pStyle w:val="null3"/>
              <w:ind w:firstLine="480"/>
              <w:jc w:val="both"/>
            </w:pPr>
            <w:r>
              <w:rPr>
                <w:sz w:val="24"/>
              </w:rPr>
              <w:t>（3）广州市交通可达性指标体系构建与可达性提升策略。从国土空间规划和CSPON建设要求出发，研究广州市多尺度可达性评价指标体系构建，并研究其应用场景和示范应用。具体内容包括：①CSPON导向下的可达性评价指标体系构建。②评价标准与指标计算。③可达性应用场景库构建。④可达性提升建议。</w:t>
            </w:r>
          </w:p>
          <w:p>
            <w:pPr>
              <w:pStyle w:val="null3"/>
              <w:ind w:firstLine="480"/>
              <w:jc w:val="both"/>
            </w:pPr>
            <w:r>
              <w:rPr>
                <w:sz w:val="24"/>
              </w:rPr>
              <w:t>（4）其他热点及重难点任务分析。针对年度交通规划管理工作中其他的热点、难点和重点问题开展专项研究，提出对策与建议。采用“一事一议”形式，简明扼要、结论明晰并具备决策参考价值。分析内容大纲包括①基本情况分析。收集研究事项的基本信息及数据，包括背景、现状及规划、相关政策、发展目标等，分析研究对象的基本情况。②存在问题分析。针对每个事项，开展实地调研，深入分析问题，归纳总结成因，为决策方案提供支撑。③决策方案研究。针对事项具体情况，问题导向与目标导向相结合，充分协调各种影响因素，提出具有决策参考作用的方案。</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w:t>
            </w:r>
            <w:r>
              <w:rPr>
                <w:sz w:val="24"/>
                <w:b/>
              </w:rPr>
              <w:t>五、人员团队要求</w:t>
            </w:r>
          </w:p>
          <w:p>
            <w:pPr>
              <w:pStyle w:val="null3"/>
              <w:ind w:firstLine="480"/>
              <w:jc w:val="both"/>
            </w:pPr>
            <w:r>
              <w:rPr>
                <w:sz w:val="24"/>
              </w:rPr>
              <w:t>投标人应为本项目成立项目团队，并明确项目负责人（1人）。基本要求如下：</w:t>
            </w:r>
          </w:p>
          <w:p>
            <w:pPr>
              <w:pStyle w:val="null3"/>
              <w:ind w:firstLine="480"/>
              <w:jc w:val="both"/>
            </w:pPr>
            <w:r>
              <w:rPr>
                <w:sz w:val="24"/>
              </w:rPr>
              <w:t>1、项目负责人需具有高级工程师或以上职称。</w:t>
            </w:r>
          </w:p>
          <w:p>
            <w:pPr>
              <w:pStyle w:val="null3"/>
              <w:ind w:firstLine="480"/>
              <w:jc w:val="both"/>
            </w:pPr>
            <w:r>
              <w:rPr>
                <w:sz w:val="24"/>
              </w:rPr>
              <w:t>2、项目团队主要成员（不含项目负责人）应不少于6人，专业配置合理，职责清晰。</w:t>
            </w:r>
          </w:p>
          <w:p>
            <w:pPr>
              <w:pStyle w:val="null3"/>
              <w:ind w:firstLine="420"/>
              <w:jc w:val="left"/>
            </w:pPr>
            <w:r>
              <w:rPr>
                <w:sz w:val="24"/>
              </w:rPr>
              <w:t>为了确保项目的履约及成果质量，投标人可以提供资质更高、业绩更丰富的人员：项目负责人专业为交通相关专业，承担过同类项目业绩。项目团队主要成员专业为交通相关专业，具备中级（或高级或教授级（正）高级）工程师职称或以上，具有相关工作经验。</w:t>
            </w:r>
          </w:p>
        </w:tc>
      </w:tr>
      <w:tr>
        <w:tc>
          <w:tcPr>
            <w:tcW w:type="dxa" w:w="2076"/>
          </w:tcPr>
          <w:p/>
        </w:tc>
        <w:tc>
          <w:tcPr>
            <w:tcW w:type="dxa" w:w="415"/>
          </w:tcPr>
          <w:p>
            <w:pPr>
              <w:pStyle w:val="null3"/>
            </w:pPr>
            <w:r>
              <w:rPr/>
              <w:t>6</w:t>
            </w:r>
          </w:p>
        </w:tc>
        <w:tc>
          <w:tcPr>
            <w:tcW w:type="dxa" w:w="5814"/>
          </w:tcPr>
          <w:p>
            <w:pPr>
              <w:pStyle w:val="null3"/>
              <w:jc w:val="both"/>
            </w:pPr>
            <w:r>
              <w:rPr>
                <w:sz w:val="24"/>
                <w:b/>
              </w:rPr>
              <w:t>六、成果提交要求</w:t>
            </w:r>
          </w:p>
          <w:p>
            <w:pPr>
              <w:pStyle w:val="null3"/>
              <w:ind w:firstLine="480"/>
              <w:jc w:val="both"/>
            </w:pPr>
            <w:r>
              <w:rPr>
                <w:sz w:val="24"/>
              </w:rPr>
              <w:t>1、成果构成：1份项目研究成果主报告、1份广州市交通发展年度报告（2025年）。</w:t>
            </w:r>
          </w:p>
          <w:p>
            <w:pPr>
              <w:pStyle w:val="null3"/>
              <w:ind w:firstLine="480"/>
              <w:jc w:val="both"/>
            </w:pPr>
            <w:r>
              <w:rPr>
                <w:sz w:val="24"/>
              </w:rPr>
              <w:t>2、设计成果内容必须符合需求书中的设计原则、规划内容等有关章节的规定。</w:t>
            </w:r>
          </w:p>
          <w:p>
            <w:pPr>
              <w:pStyle w:val="null3"/>
              <w:ind w:firstLine="480"/>
              <w:jc w:val="both"/>
            </w:pPr>
            <w:r>
              <w:rPr>
                <w:sz w:val="24"/>
              </w:rPr>
              <w:t>3、规划设计成果包括：规划文本、图纸和附件以及相对应的电子文件，符合入库标准。</w:t>
            </w:r>
          </w:p>
          <w:p>
            <w:pPr>
              <w:pStyle w:val="null3"/>
              <w:ind w:firstLine="480"/>
              <w:jc w:val="both"/>
            </w:pPr>
            <w:r>
              <w:rPr>
                <w:sz w:val="24"/>
              </w:rPr>
              <w:t>4、成果深度：设计成果的深度必须符合需求书中的深度要求。</w:t>
            </w:r>
          </w:p>
          <w:p>
            <w:pPr>
              <w:pStyle w:val="null3"/>
              <w:ind w:firstLine="480"/>
              <w:jc w:val="both"/>
            </w:pPr>
            <w:r>
              <w:rPr>
                <w:sz w:val="24"/>
              </w:rPr>
              <w:t>5、在各阶段成果等各阶段汇报交流后，应随即提交项目各阶段性方案的全部电子文件（CAD、PPT、JPG文件格式）。最终成果须提交A4或A3规格的规划文本3套，同时提交全部成果的电子文件（CAD、GIS、JPG、DOC、PDF文件格式，符合入库标准、多媒体汇报文件）3套。</w:t>
            </w:r>
          </w:p>
          <w:p>
            <w:pPr>
              <w:pStyle w:val="null3"/>
              <w:ind w:firstLine="480"/>
              <w:jc w:val="left"/>
            </w:pPr>
            <w:r>
              <w:rPr>
                <w:sz w:val="24"/>
              </w:rPr>
              <w:t>6、成果规范：交付的成果必须签署齐全，设计图纸和文本文件必须做到清晰、完整，尺寸齐全、准确，同类图纸规格应统一。</w:t>
            </w:r>
          </w:p>
        </w:tc>
      </w:tr>
      <w:tr>
        <w:tc>
          <w:tcPr>
            <w:tcW w:type="dxa" w:w="2076"/>
          </w:tcPr>
          <w:p/>
        </w:tc>
        <w:tc>
          <w:tcPr>
            <w:tcW w:type="dxa" w:w="415"/>
          </w:tcPr>
          <w:p>
            <w:pPr>
              <w:pStyle w:val="null3"/>
            </w:pPr>
            <w:r>
              <w:rPr/>
              <w:t>7</w:t>
            </w:r>
          </w:p>
        </w:tc>
        <w:tc>
          <w:tcPr>
            <w:tcW w:type="dxa" w:w="5814"/>
          </w:tcPr>
          <w:p>
            <w:pPr>
              <w:pStyle w:val="null3"/>
              <w:jc w:val="both"/>
            </w:pPr>
            <w:r>
              <w:rPr>
                <w:sz w:val="24"/>
                <w:b/>
              </w:rPr>
              <w:t>七、规划成果的报送和审查</w:t>
            </w:r>
          </w:p>
          <w:p>
            <w:pPr>
              <w:pStyle w:val="null3"/>
              <w:ind w:firstLine="480"/>
              <w:jc w:val="both"/>
            </w:pPr>
            <w:r>
              <w:rPr>
                <w:sz w:val="24"/>
              </w:rPr>
              <w:t>1、本项工作采取分阶段评审的方式，广州市规划和自然资源局负责组织审查工作。中标人负责审查所必须的汇报资料和进行研究方案介绍。</w:t>
            </w:r>
          </w:p>
          <w:p>
            <w:pPr>
              <w:pStyle w:val="null3"/>
              <w:ind w:firstLine="480"/>
              <w:jc w:val="both"/>
            </w:pPr>
            <w:r>
              <w:rPr>
                <w:sz w:val="24"/>
              </w:rPr>
              <w:t>2、中标人必须于审查前5日派专人将规划成果送达广州市规划和自然资源局。</w:t>
            </w:r>
          </w:p>
          <w:p>
            <w:pPr>
              <w:pStyle w:val="null3"/>
              <w:ind w:firstLine="480"/>
              <w:jc w:val="both"/>
            </w:pPr>
            <w:r>
              <w:rPr>
                <w:sz w:val="24"/>
              </w:rPr>
              <w:t>3、通过审查后，中标人应根据审查意见修改并按时提交审批成果。各阶段提交成果文本的数量与组织单位协商后确定。</w:t>
            </w:r>
          </w:p>
          <w:p>
            <w:pPr>
              <w:pStyle w:val="null3"/>
              <w:ind w:firstLine="480"/>
              <w:jc w:val="left"/>
            </w:pPr>
            <w:r>
              <w:rPr>
                <w:sz w:val="24"/>
              </w:rPr>
              <w:t>4、提交的正式规划成果必须在成果报告上加注委托单位名称、技术协调单位名称、中标人名称及法人代表、项目负责人和设计人员名单及加盖中标人公章及城市规划设计出图专用章。</w:t>
            </w:r>
          </w:p>
        </w:tc>
      </w:tr>
      <w:tr>
        <w:tc>
          <w:tcPr>
            <w:tcW w:type="dxa" w:w="2076"/>
          </w:tcPr>
          <w:p/>
        </w:tc>
        <w:tc>
          <w:tcPr>
            <w:tcW w:type="dxa" w:w="415"/>
          </w:tcPr>
          <w:p>
            <w:pPr>
              <w:pStyle w:val="null3"/>
            </w:pPr>
            <w:r>
              <w:rPr/>
              <w:t>8</w:t>
            </w:r>
          </w:p>
        </w:tc>
        <w:tc>
          <w:tcPr>
            <w:tcW w:type="dxa" w:w="5814"/>
          </w:tcPr>
          <w:p>
            <w:pPr>
              <w:pStyle w:val="null3"/>
              <w:jc w:val="both"/>
            </w:pPr>
            <w:r>
              <w:rPr>
                <w:sz w:val="24"/>
                <w:b/>
              </w:rPr>
              <w:t>八、附则</w:t>
            </w:r>
          </w:p>
          <w:p>
            <w:pPr>
              <w:pStyle w:val="null3"/>
              <w:ind w:firstLine="480"/>
              <w:jc w:val="both"/>
            </w:pPr>
            <w:r>
              <w:rPr>
                <w:sz w:val="24"/>
              </w:rPr>
              <w:t>1、本研究署名权版权归采购人所有；采购人有权在规划制定后公开展示规划成果，并通过传播、媒介、专业杂志、书刊或其它形式介绍、展示规划方案。中标人未经采购人允许，不得以任何形式公开或截取公开本研究成果。</w:t>
            </w:r>
          </w:p>
          <w:p>
            <w:pPr>
              <w:pStyle w:val="null3"/>
              <w:ind w:firstLine="480"/>
              <w:jc w:val="both"/>
            </w:pPr>
            <w:r>
              <w:rPr>
                <w:sz w:val="24"/>
              </w:rPr>
              <w:t>2、中标人如对本任务书有疑问，应在接到任务书后以书面形式提出，组织单位在收到意见后将以电子邮件或书面形式作出答复。</w:t>
            </w:r>
          </w:p>
          <w:p>
            <w:pPr>
              <w:pStyle w:val="null3"/>
              <w:ind w:firstLine="480"/>
              <w:jc w:val="both"/>
            </w:pPr>
            <w:r>
              <w:rPr>
                <w:sz w:val="24"/>
              </w:rPr>
              <w:t>3、中标人所提交的规划成果有下列情形之一的视为成果无效，按技术服务合同规定承担相应责任。</w:t>
            </w:r>
          </w:p>
          <w:p>
            <w:pPr>
              <w:pStyle w:val="null3"/>
              <w:ind w:firstLine="480"/>
              <w:jc w:val="both"/>
            </w:pPr>
            <w:r>
              <w:rPr>
                <w:sz w:val="24"/>
              </w:rPr>
              <w:t>（1）提交的研究成果不符合本任务书规定的；</w:t>
            </w:r>
          </w:p>
          <w:p>
            <w:pPr>
              <w:pStyle w:val="null3"/>
              <w:ind w:firstLine="480"/>
              <w:jc w:val="both"/>
            </w:pPr>
            <w:r>
              <w:rPr>
                <w:sz w:val="24"/>
              </w:rPr>
              <w:t>（2）提交的图纸和文字辨认不清，内容不全或粗制滥造的；</w:t>
            </w:r>
          </w:p>
          <w:p>
            <w:pPr>
              <w:pStyle w:val="null3"/>
              <w:ind w:firstLine="480"/>
              <w:jc w:val="both"/>
            </w:pPr>
            <w:r>
              <w:rPr>
                <w:sz w:val="24"/>
              </w:rPr>
              <w:t>（3）未经组织单位同意逾期上报研究成果的；</w:t>
            </w:r>
          </w:p>
          <w:p>
            <w:pPr>
              <w:pStyle w:val="null3"/>
              <w:ind w:firstLine="480"/>
              <w:jc w:val="left"/>
            </w:pPr>
            <w:r>
              <w:rPr>
                <w:sz w:val="24"/>
              </w:rPr>
              <w:t>（4）本规划任务书解释权归广州市规划和自然资源局所有。</w:t>
            </w:r>
          </w:p>
        </w:tc>
      </w:tr>
      <w:tr>
        <w:tc>
          <w:tcPr>
            <w:tcW w:type="dxa" w:w="2076"/>
          </w:tcPr>
          <w:p/>
        </w:tc>
        <w:tc>
          <w:tcPr>
            <w:tcW w:type="dxa" w:w="415"/>
          </w:tcPr>
          <w:p>
            <w:pPr>
              <w:pStyle w:val="null3"/>
            </w:pPr>
            <w:r>
              <w:rPr/>
              <w:t>9</w:t>
            </w:r>
          </w:p>
        </w:tc>
        <w:tc>
          <w:tcPr>
            <w:tcW w:type="dxa" w:w="5814"/>
          </w:tcPr>
          <w:p>
            <w:pPr>
              <w:pStyle w:val="null3"/>
              <w:jc w:val="both"/>
            </w:pPr>
            <w:r>
              <w:rPr>
                <w:sz w:val="24"/>
                <w:b/>
              </w:rPr>
              <w:t>九、其他要求</w:t>
            </w:r>
          </w:p>
          <w:p>
            <w:pPr>
              <w:pStyle w:val="null3"/>
              <w:ind w:firstLine="480"/>
              <w:jc w:val="both"/>
            </w:pPr>
            <w:r>
              <w:rPr>
                <w:sz w:val="24"/>
              </w:rPr>
              <w:t>1、本项目前期要求</w:t>
            </w:r>
          </w:p>
          <w:p>
            <w:pPr>
              <w:pStyle w:val="null3"/>
              <w:ind w:firstLine="480"/>
              <w:jc w:val="both"/>
            </w:pPr>
            <w:r>
              <w:rPr>
                <w:sz w:val="24"/>
              </w:rPr>
              <w:t>投标人需要充分理解和掌握项目背景、工作目标、工作任务、工作范围的城市现状、交通现状、项目涉及的政策规范等，并对此进行分析，明确本项目的工作目标，为保障项目的成果质量提供支持。</w:t>
            </w:r>
          </w:p>
          <w:p>
            <w:pPr>
              <w:pStyle w:val="null3"/>
              <w:ind w:firstLine="480"/>
              <w:jc w:val="both"/>
            </w:pPr>
            <w:r>
              <w:rPr>
                <w:sz w:val="24"/>
              </w:rPr>
              <w:t>2、技术要求</w:t>
            </w:r>
          </w:p>
          <w:p>
            <w:pPr>
              <w:pStyle w:val="null3"/>
              <w:ind w:firstLine="480"/>
              <w:jc w:val="both"/>
            </w:pPr>
            <w:r>
              <w:rPr>
                <w:sz w:val="24"/>
              </w:rPr>
              <w:t>符合《中华人民共和国城乡规划法》等现行的国家和地方有关法律、法规以及相关规范的技术要求。</w:t>
            </w:r>
          </w:p>
          <w:p>
            <w:pPr>
              <w:pStyle w:val="null3"/>
              <w:ind w:firstLine="480"/>
              <w:jc w:val="both"/>
            </w:pPr>
            <w:r>
              <w:rPr>
                <w:sz w:val="24"/>
              </w:rPr>
              <w:t>3、项目重点、难点</w:t>
            </w:r>
          </w:p>
          <w:p>
            <w:pPr>
              <w:pStyle w:val="null3"/>
              <w:ind w:firstLine="480"/>
              <w:jc w:val="both"/>
            </w:pPr>
            <w:r>
              <w:rPr>
                <w:sz w:val="24"/>
              </w:rPr>
              <w:t>本项目为开展大数据采集与处理、年度现状交通评价、年度规划决策分析、年度交通热点和重难点问题分析等。由于规划设计需要考虑到很多外部因素，比如政策、经济、社会、环境等，实施本项目的技术要求较高，投标人需就本项目的重点、难点问题进行分析，并明确工作思路及解决措施。</w:t>
            </w:r>
          </w:p>
          <w:p>
            <w:pPr>
              <w:pStyle w:val="null3"/>
              <w:ind w:firstLine="480"/>
              <w:jc w:val="both"/>
            </w:pPr>
            <w:r>
              <w:rPr>
                <w:sz w:val="24"/>
              </w:rPr>
              <w:t>4、工作时间计划和质量保障措施</w:t>
            </w:r>
          </w:p>
          <w:p>
            <w:pPr>
              <w:pStyle w:val="null3"/>
              <w:ind w:firstLine="480"/>
              <w:jc w:val="both"/>
            </w:pPr>
            <w:r>
              <w:rPr>
                <w:sz w:val="24"/>
              </w:rPr>
              <w:t>（1）工期计划：包括前期工作阶段、初步成果阶段、中期成果阶段和最终成果阶段。（注：上述各阶段工作时间具体以实际开展情况为准）。</w:t>
            </w:r>
          </w:p>
          <w:p>
            <w:pPr>
              <w:pStyle w:val="null3"/>
              <w:ind w:firstLine="480"/>
              <w:jc w:val="both"/>
            </w:pPr>
            <w:r>
              <w:rPr>
                <w:sz w:val="24"/>
              </w:rPr>
              <w:t>（2）质量保障措施：</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综合交通规划编制经费（子项8：2025年广州市交通发展年度报告及交通评价与决策分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采购包1（城维计划-综合交通规划编制经费（子项8：2025年广州市交通发展年度报告及交通评价与决策分析））：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采购包1（城维计划-综合交通规划编制经费（子项8：2025年广州市交通发展年度报告及交通评价与决策分析））：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采购包1（城维计划-综合交通规划编制经费（子项8：2025年广州市交通发展年度报告及交通评价与决策分析））：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采购包1(城维计划-综合交通规划编制经费（子项8：2025年广州市交通发展年度报告及交通评价与决策分析）):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对项目的熟悉程度A (2.0分)</w:t>
            </w:r>
          </w:p>
        </w:tc>
        <w:tc>
          <w:tcPr>
            <w:tcW w:type="dxa" w:w="5076"/>
          </w:tcPr>
          <w:p>
            <w:pPr>
              <w:pStyle w:val="null3"/>
              <w:jc w:val="left"/>
            </w:pPr>
            <w:r>
              <w:rPr/>
              <w:t>根据采购需求中的项目背景，投标人提供对本项目理解情况，内容包括但不限于：①项目背景；②工作目标；③工作任务；④任务深度。能提供以上内容的，得2分；如未提供或提供不完整，则本项及“对项目的熟悉程度B”均不得分。</w:t>
            </w:r>
          </w:p>
        </w:tc>
      </w:tr>
      <w:tr>
        <w:tc>
          <w:tcPr>
            <w:tcW w:type="dxa" w:w="922"/>
            <w:gridSpan w:val="2"/>
            <w:vMerge/>
          </w:tcPr>
          <w:p/>
        </w:tc>
        <w:tc>
          <w:tcPr>
            <w:tcW w:type="dxa" w:w="2307"/>
          </w:tcPr>
          <w:p>
            <w:pPr>
              <w:pStyle w:val="null3"/>
              <w:jc w:val="left"/>
            </w:pPr>
            <w:r>
              <w:rPr/>
              <w:t>对项目的熟悉程度B (4.0分)</w:t>
            </w:r>
            <w:r>
              <w:rPr/>
              <w:t>，（等次分值选择：</w:t>
            </w:r>
            <w:r>
              <w:rPr/>
              <w:t>0.0;</w:t>
            </w:r>
            <w:r>
              <w:rPr/>
              <w:t>1.0;</w:t>
            </w:r>
            <w:r>
              <w:rPr/>
              <w:t>2.0;</w:t>
            </w:r>
            <w:r>
              <w:rPr/>
              <w:t>4.0;</w:t>
            </w:r>
            <w:r>
              <w:rPr/>
              <w:t>）</w:t>
            </w:r>
          </w:p>
        </w:tc>
        <w:tc>
          <w:tcPr>
            <w:tcW w:type="dxa" w:w="5076"/>
          </w:tcPr>
          <w:p>
            <w:pPr>
              <w:pStyle w:val="null3"/>
              <w:jc w:val="left"/>
            </w:pPr>
            <w:r>
              <w:rPr/>
              <w:t>在符合“对项目的熟悉程度A”的基础上，对投标人提供的对项目的熟悉程度进行详细评审： 1.投标人充分理解和掌握项目背景、工作目标、工作任务、任务深度等内容，内容要点突出，特色鲜明的，完全满足且优于采购需求，得4分； 2.投标人能理解和掌握项目背景、工作目标、工作任务、任务深度等内容，内容比较突出的，满足采购需求，得2分； 3.投标人部分或不完全理解和掌握项目背景、工作目标、工作任务、任务深度等内容，部分满足采购需求，得1分； 4.其它或没有提供方案，得0分。</w:t>
            </w:r>
          </w:p>
        </w:tc>
      </w:tr>
      <w:tr>
        <w:tc>
          <w:tcPr>
            <w:tcW w:type="dxa" w:w="922"/>
            <w:gridSpan w:val="2"/>
            <w:vMerge/>
          </w:tcPr>
          <w:p/>
        </w:tc>
        <w:tc>
          <w:tcPr>
            <w:tcW w:type="dxa" w:w="2307"/>
          </w:tcPr>
          <w:p>
            <w:pPr>
              <w:pStyle w:val="null3"/>
              <w:jc w:val="left"/>
            </w:pPr>
            <w:r>
              <w:rPr/>
              <w:t>对项目现状情况的掌握理解A (3.0分)</w:t>
            </w:r>
          </w:p>
        </w:tc>
        <w:tc>
          <w:tcPr>
            <w:tcW w:type="dxa" w:w="5076"/>
          </w:tcPr>
          <w:p>
            <w:pPr>
              <w:pStyle w:val="null3"/>
              <w:jc w:val="left"/>
            </w:pPr>
            <w:r>
              <w:rPr/>
              <w:t>根据采购需求中的工作范围及内容，投标人提供对项目现状情况的理解，内容包括但不限于：①城市现状；②交通现状；③项目涉及的政策规范等现状情况。能提供以上内容的，得3分；如未提供或提供不完整，则本项及“对项目现状情况的掌握理解B”均不得分。</w:t>
            </w:r>
          </w:p>
        </w:tc>
      </w:tr>
      <w:tr>
        <w:tc>
          <w:tcPr>
            <w:tcW w:type="dxa" w:w="922"/>
            <w:gridSpan w:val="2"/>
            <w:vMerge/>
          </w:tcPr>
          <w:p/>
        </w:tc>
        <w:tc>
          <w:tcPr>
            <w:tcW w:type="dxa" w:w="2307"/>
          </w:tcPr>
          <w:p>
            <w:pPr>
              <w:pStyle w:val="null3"/>
              <w:jc w:val="left"/>
            </w:pPr>
            <w:r>
              <w:rPr/>
              <w:t>对项目现状情况的掌握理解B (5.0分)</w:t>
            </w:r>
            <w:r>
              <w:rPr/>
              <w:t>，（等次分值选择：</w:t>
            </w:r>
            <w:r>
              <w:rPr/>
              <w:t>0.0;</w:t>
            </w:r>
            <w:r>
              <w:rPr/>
              <w:t>1.0;</w:t>
            </w:r>
            <w:r>
              <w:rPr/>
              <w:t>3.0;</w:t>
            </w:r>
            <w:r>
              <w:rPr/>
              <w:t>5.0;</w:t>
            </w:r>
            <w:r>
              <w:rPr/>
              <w:t>）</w:t>
            </w:r>
          </w:p>
        </w:tc>
        <w:tc>
          <w:tcPr>
            <w:tcW w:type="dxa" w:w="5076"/>
          </w:tcPr>
          <w:p>
            <w:pPr>
              <w:pStyle w:val="null3"/>
              <w:jc w:val="left"/>
            </w:pPr>
            <w:r>
              <w:rPr/>
              <w:t>在符合“对项目现状情况的掌握理解A”的基础上，对投标人提供的对项目现状情况的掌握理解进行详细评审： 1.投标人充分掌握项目现状情况，对城市、交通规划管理情况，项目规划范围的城市、交通现状及规划，当前城市和交通规划领域的热点内容分析详细、准确，数据详实的，完全满足且优于采购需求，得5分； 2.投标人掌握项目现状情况，对城市、交通规划管理情况，项目规划范围的城市、交通现状及规划，当前城市和交通规划领域的热点内容分析较为准确，满足采购需求，得3分； 3.投标人掌握部分项目现状情况，对城市、交通规划管理情况，项目规划范围的城市、交通现状及规划，当前城市和交通规划领域的热点内容分析部分准确或不太清晰的，部分满足采购需求，得1分； 4.其它或没有提供方案，得0分。</w:t>
            </w:r>
          </w:p>
        </w:tc>
      </w:tr>
      <w:tr>
        <w:tc>
          <w:tcPr>
            <w:tcW w:type="dxa" w:w="922"/>
            <w:gridSpan w:val="2"/>
            <w:vMerge/>
          </w:tcPr>
          <w:p/>
        </w:tc>
        <w:tc>
          <w:tcPr>
            <w:tcW w:type="dxa" w:w="2307"/>
          </w:tcPr>
          <w:p>
            <w:pPr>
              <w:pStyle w:val="null3"/>
              <w:jc w:val="left"/>
            </w:pPr>
            <w:r>
              <w:rPr/>
              <w:t>项目技术路线和工作思路A (2.0分)</w:t>
            </w:r>
          </w:p>
        </w:tc>
        <w:tc>
          <w:tcPr>
            <w:tcW w:type="dxa" w:w="5076"/>
          </w:tcPr>
          <w:p>
            <w:pPr>
              <w:pStyle w:val="null3"/>
              <w:jc w:val="left"/>
            </w:pPr>
            <w:r>
              <w:rPr/>
              <w:t>根据采购需求中的编制原则及编制内容，投标人提供的项目技术路线和工作思路，内容包括但不限于：①工作思路；②技术路线；③技术手段；④工作分工。能提供以上内容的，得2分；如未提供或提供不完整，则本项及“项目技术路线和工作思路B”均不得分。</w:t>
            </w:r>
          </w:p>
        </w:tc>
      </w:tr>
      <w:tr>
        <w:tc>
          <w:tcPr>
            <w:tcW w:type="dxa" w:w="922"/>
            <w:gridSpan w:val="2"/>
            <w:vMerge/>
          </w:tcPr>
          <w:p/>
        </w:tc>
        <w:tc>
          <w:tcPr>
            <w:tcW w:type="dxa" w:w="2307"/>
          </w:tcPr>
          <w:p>
            <w:pPr>
              <w:pStyle w:val="null3"/>
              <w:jc w:val="left"/>
            </w:pPr>
            <w:r>
              <w:rPr/>
              <w:t>项目技术路线和工作思路B (4.0分)</w:t>
            </w:r>
            <w:r>
              <w:rPr/>
              <w:t>，（等次分值选择：</w:t>
            </w:r>
            <w:r>
              <w:rPr/>
              <w:t>0.0;</w:t>
            </w:r>
            <w:r>
              <w:rPr/>
              <w:t>1.0;</w:t>
            </w:r>
            <w:r>
              <w:rPr/>
              <w:t>2.0;</w:t>
            </w:r>
            <w:r>
              <w:rPr/>
              <w:t>4.0;</w:t>
            </w:r>
            <w:r>
              <w:rPr/>
              <w:t>）</w:t>
            </w:r>
          </w:p>
        </w:tc>
        <w:tc>
          <w:tcPr>
            <w:tcW w:type="dxa" w:w="5076"/>
          </w:tcPr>
          <w:p>
            <w:pPr>
              <w:pStyle w:val="null3"/>
              <w:jc w:val="left"/>
            </w:pPr>
            <w:r>
              <w:rPr/>
              <w:t>在符合“项目技术路线和工作思路A”的基础上，对投标人提供的项目技术路线和工作思路进行详细评审： 1.项目技术路线和工作思路详细完整且重点突出，准备采取的技术手段明确，能提供具体步骤及解决关键性问题的方法，工作分工明确，完全满足且优于采购需求，得4分； 2.项目技术路线和工作思路基本完整，准备采取的技术手段基本明确，能提供相关的步骤及解决关键性问题的方法，工作分工基本明确，满足采购需求，得2分； 3.项目技术路线和工作思路不够完整、内容简单，准备采取的技术手段不明确，能提供简单的步骤，有工作分工，部分满足采购需求，得1分； 4.其它或没有提供方案，得0分。</w:t>
            </w:r>
          </w:p>
        </w:tc>
      </w:tr>
      <w:tr>
        <w:tc>
          <w:tcPr>
            <w:tcW w:type="dxa" w:w="922"/>
            <w:gridSpan w:val="2"/>
            <w:vMerge/>
          </w:tcPr>
          <w:p/>
        </w:tc>
        <w:tc>
          <w:tcPr>
            <w:tcW w:type="dxa" w:w="2307"/>
          </w:tcPr>
          <w:p>
            <w:pPr>
              <w:pStyle w:val="null3"/>
              <w:jc w:val="left"/>
            </w:pPr>
            <w:r>
              <w:rPr/>
              <w:t>对项目重点、难点的理解和分析A (4.0分)</w:t>
            </w:r>
          </w:p>
        </w:tc>
        <w:tc>
          <w:tcPr>
            <w:tcW w:type="dxa" w:w="5076"/>
          </w:tcPr>
          <w:p>
            <w:pPr>
              <w:pStyle w:val="null3"/>
              <w:jc w:val="left"/>
            </w:pPr>
            <w:r>
              <w:rPr/>
              <w:t>投标人根据本项目的需求内容进行重点、难点问题分析与工作思路阐述方案进行评审，方案需包含①项目重难点问题的分析；②如何应对重难点的工作思路。能提供以上内容的，得4分；如未提供或提供不完整，则本项及“对项目重点、难点的理解和分析B”均不得分。</w:t>
            </w:r>
          </w:p>
        </w:tc>
      </w:tr>
      <w:tr>
        <w:tc>
          <w:tcPr>
            <w:tcW w:type="dxa" w:w="922"/>
            <w:gridSpan w:val="2"/>
            <w:vMerge/>
          </w:tcPr>
          <w:p/>
        </w:tc>
        <w:tc>
          <w:tcPr>
            <w:tcW w:type="dxa" w:w="2307"/>
          </w:tcPr>
          <w:p>
            <w:pPr>
              <w:pStyle w:val="null3"/>
              <w:jc w:val="left"/>
            </w:pPr>
            <w:r>
              <w:rPr/>
              <w:t>对项目重点、难点的理解和分析B (9.0分)</w:t>
            </w:r>
            <w:r>
              <w:rPr/>
              <w:t>，（等次分值选择：</w:t>
            </w:r>
            <w:r>
              <w:rPr/>
              <w:t>0.0;</w:t>
            </w:r>
            <w:r>
              <w:rPr/>
              <w:t>3.0;</w:t>
            </w:r>
            <w:r>
              <w:rPr/>
              <w:t>6.0;</w:t>
            </w:r>
            <w:r>
              <w:rPr/>
              <w:t>9.0;</w:t>
            </w:r>
            <w:r>
              <w:rPr/>
              <w:t>）</w:t>
            </w:r>
          </w:p>
        </w:tc>
        <w:tc>
          <w:tcPr>
            <w:tcW w:type="dxa" w:w="5076"/>
          </w:tcPr>
          <w:p>
            <w:pPr>
              <w:pStyle w:val="null3"/>
              <w:jc w:val="left"/>
            </w:pPr>
            <w:r>
              <w:rPr/>
              <w:t>在符合“对项目重点、难点的理解和分析A”的基础上，对投标人提供的对项目重点、难点的理解和分析进行详细评审： 1.重难点分析合理，应对思路清晰合理，贴合项目情况的，得9分； 2.重难点分析较合理，应对思路较清晰合理，较贴合项目情况的，得6分； 3.重难点分析与项目存在偏差，应对思路不合理，不贴合项目情况的，得3分； 4.无提供或其他不得分。</w:t>
            </w:r>
          </w:p>
        </w:tc>
      </w:tr>
      <w:tr>
        <w:tc>
          <w:tcPr>
            <w:tcW w:type="dxa" w:w="922"/>
            <w:gridSpan w:val="2"/>
            <w:vMerge/>
          </w:tcPr>
          <w:p/>
        </w:tc>
        <w:tc>
          <w:tcPr>
            <w:tcW w:type="dxa" w:w="2307"/>
          </w:tcPr>
          <w:p>
            <w:pPr>
              <w:pStyle w:val="null3"/>
              <w:jc w:val="left"/>
            </w:pPr>
            <w:r>
              <w:rPr/>
              <w:t>工作方案A (4.0分)</w:t>
            </w:r>
          </w:p>
        </w:tc>
        <w:tc>
          <w:tcPr>
            <w:tcW w:type="dxa" w:w="5076"/>
          </w:tcPr>
          <w:p>
            <w:pPr>
              <w:pStyle w:val="null3"/>
              <w:jc w:val="left"/>
            </w:pPr>
            <w:r>
              <w:rPr/>
              <w:t>根据采购需求中的编制原则及编制内容，投标人提供的工作方案，内容包括但不限于：①大数据采集与处理；②年度现状交通评价；③年度规划决策分析；④年度交通热点和重难点问题分析等。能提供以上内容的，得4分；如未提供或提供不完整，则本项及“工作方案B”均不得分。</w:t>
            </w:r>
          </w:p>
        </w:tc>
      </w:tr>
      <w:tr>
        <w:tc>
          <w:tcPr>
            <w:tcW w:type="dxa" w:w="922"/>
            <w:gridSpan w:val="2"/>
            <w:vMerge/>
          </w:tcPr>
          <w:p/>
        </w:tc>
        <w:tc>
          <w:tcPr>
            <w:tcW w:type="dxa" w:w="2307"/>
          </w:tcPr>
          <w:p>
            <w:pPr>
              <w:pStyle w:val="null3"/>
              <w:jc w:val="left"/>
            </w:pPr>
            <w:r>
              <w:rPr/>
              <w:t>工作方案B (8.0分)</w:t>
            </w:r>
            <w:r>
              <w:rPr/>
              <w:t>，（等次分值选择：</w:t>
            </w:r>
            <w:r>
              <w:rPr/>
              <w:t>0.0;</w:t>
            </w:r>
            <w:r>
              <w:rPr/>
              <w:t>2.0;</w:t>
            </w:r>
            <w:r>
              <w:rPr/>
              <w:t>5.0;</w:t>
            </w:r>
            <w:r>
              <w:rPr/>
              <w:t>8.0;</w:t>
            </w:r>
            <w:r>
              <w:rPr/>
              <w:t>）</w:t>
            </w:r>
          </w:p>
        </w:tc>
        <w:tc>
          <w:tcPr>
            <w:tcW w:type="dxa" w:w="5076"/>
          </w:tcPr>
          <w:p>
            <w:pPr>
              <w:pStyle w:val="null3"/>
              <w:jc w:val="left"/>
            </w:pPr>
            <w:r>
              <w:rPr/>
              <w:t>在符合“工作方案A”的基础上，对投标人提供的工作方案进行详细评审： 1.工作方案能体现采购需求的目标、全部工作要求和内容，研究思路清晰，工作流程科学合理，具有较强的可实施性，完全满足且优于采购需求，得8分； 2.工作方案基本能体现采购需求的目标和原则，研究思路合理可行，工作流程较为准确，满足采购需求，得5分； 3.工作方案能部分体现采购需求的目标和原则，研究思路基本合理，工作流程简单的，部分满足采购需求，得2分； 4.其它或没有提供方案，得0分。</w:t>
            </w:r>
          </w:p>
        </w:tc>
      </w:tr>
      <w:tr>
        <w:tc>
          <w:tcPr>
            <w:tcW w:type="dxa" w:w="922"/>
            <w:gridSpan w:val="2"/>
            <w:vMerge/>
          </w:tcPr>
          <w:p/>
        </w:tc>
        <w:tc>
          <w:tcPr>
            <w:tcW w:type="dxa" w:w="2307"/>
          </w:tcPr>
          <w:p>
            <w:pPr>
              <w:pStyle w:val="null3"/>
              <w:jc w:val="left"/>
            </w:pPr>
            <w:r>
              <w:rPr/>
              <w:t>工作时间计划和质量保障措施A (2.0分)</w:t>
            </w:r>
          </w:p>
        </w:tc>
        <w:tc>
          <w:tcPr>
            <w:tcW w:type="dxa" w:w="5076"/>
          </w:tcPr>
          <w:p>
            <w:pPr>
              <w:pStyle w:val="null3"/>
              <w:jc w:val="left"/>
            </w:pPr>
            <w:r>
              <w:rPr/>
              <w:t>根据采购需求中的工作时间计划、成果提交要求和规划成果的报送和审查要求，投标人提供的工作时间计划和质量保障措施，内容包括但不限于：①进度计划；②质量和技术保障措施。能提供以上内容的，得2分；如未提供或提供不完整，则本项及“工作时间计划和质量保障措施B”均不得分。</w:t>
            </w:r>
          </w:p>
        </w:tc>
      </w:tr>
      <w:tr>
        <w:tc>
          <w:tcPr>
            <w:tcW w:type="dxa" w:w="922"/>
            <w:gridSpan w:val="2"/>
            <w:vMerge/>
          </w:tcPr>
          <w:p/>
        </w:tc>
        <w:tc>
          <w:tcPr>
            <w:tcW w:type="dxa" w:w="2307"/>
          </w:tcPr>
          <w:p>
            <w:pPr>
              <w:pStyle w:val="null3"/>
              <w:jc w:val="left"/>
            </w:pPr>
            <w:r>
              <w:rPr/>
              <w:t>工作时间计划和质量保障措施 B (3.0分)</w:t>
            </w:r>
            <w:r>
              <w:rPr/>
              <w:t>，（等次分值选择：</w:t>
            </w:r>
            <w:r>
              <w:rPr/>
              <w:t>0.0;</w:t>
            </w:r>
            <w:r>
              <w:rPr/>
              <w:t>1.0;</w:t>
            </w:r>
            <w:r>
              <w:rPr/>
              <w:t>2.0;</w:t>
            </w:r>
            <w:r>
              <w:rPr/>
              <w:t>3.0;</w:t>
            </w:r>
            <w:r>
              <w:rPr/>
              <w:t>）</w:t>
            </w:r>
          </w:p>
        </w:tc>
        <w:tc>
          <w:tcPr>
            <w:tcW w:type="dxa" w:w="5076"/>
          </w:tcPr>
          <w:p>
            <w:pPr>
              <w:pStyle w:val="null3"/>
              <w:jc w:val="left"/>
            </w:pPr>
            <w:r>
              <w:rPr/>
              <w:t>在符合“工作时间计划和质量保障措施A”的基础上，对投标人提供的工作时间计划和质量保障措施进行详细评审： 1.投标人能提供详细明确的项目工作时间安排，有设定明确的实施计划流程，每个工作节点衔接顺畅，质量保障措施和保密措施完整，目标明确，能提供详细的质量和保密控制过程所使用的方法、风险预防和应对措施，完全满足且优于采购需求，得3分； 2.投标人制定项目工作时间安排、实施计划流程和工作计划简单，质量保障措施和保密措施基本完整，目标基本明确，能提供简单的质量和保密控制过程所使用的方法、风险预防和应对措施，满足采购需求，得2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自2019年1月1日至今同类项目业绩 (8.0分)</w:t>
            </w:r>
          </w:p>
        </w:tc>
        <w:tc>
          <w:tcPr>
            <w:tcW w:type="dxa" w:w="5076"/>
          </w:tcPr>
          <w:p>
            <w:pPr>
              <w:pStyle w:val="null3"/>
              <w:jc w:val="left"/>
            </w:pPr>
            <w:r>
              <w:rPr/>
              <w:t>投标人2019年1月1日（以合同签订时间为准）至今，承接过同类项目业绩，每提供一项得2分，最高得8分。 注：需提供合同关键页（含签订合同双方的单位名称、合同项目名称与含签订合同双方的落款盖章、签订日期的关键页）扫描件，否则无效。</w:t>
            </w:r>
          </w:p>
        </w:tc>
      </w:tr>
      <w:tr>
        <w:tc>
          <w:tcPr>
            <w:tcW w:type="dxa" w:w="922"/>
            <w:gridSpan w:val="2"/>
            <w:vMerge/>
          </w:tcPr>
          <w:p/>
        </w:tc>
        <w:tc>
          <w:tcPr>
            <w:tcW w:type="dxa" w:w="2307"/>
          </w:tcPr>
          <w:p>
            <w:pPr>
              <w:pStyle w:val="null3"/>
              <w:jc w:val="left"/>
            </w:pPr>
            <w:r>
              <w:rPr/>
              <w:t>项目负责人情况 (12.0分)</w:t>
            </w:r>
          </w:p>
        </w:tc>
        <w:tc>
          <w:tcPr>
            <w:tcW w:type="dxa" w:w="5076"/>
          </w:tcPr>
          <w:p>
            <w:pPr>
              <w:pStyle w:val="null3"/>
              <w:jc w:val="left"/>
            </w:pPr>
            <w:r>
              <w:rPr/>
              <w:t>拟派本项目负责人情况： 项目负责人具有高级工程师职称的得2分，具有教授级（正）高级工程师的得4分，本小项最高得4分。在此基础上： 1.项目负责人专业为交通相关专业，加2分； 2.项目负责人承担过同类项目业绩的，每提供1个业绩证明资料加2分，本小项最高得6分。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vMerge/>
          </w:tcPr>
          <w:p/>
        </w:tc>
        <w:tc>
          <w:tcPr>
            <w:tcW w:type="dxa" w:w="2307"/>
          </w:tcPr>
          <w:p>
            <w:pPr>
              <w:pStyle w:val="null3"/>
              <w:jc w:val="left"/>
            </w:pPr>
            <w:r>
              <w:rPr/>
              <w:t>团队成员配备 (15.0分)</w:t>
            </w:r>
          </w:p>
        </w:tc>
        <w:tc>
          <w:tcPr>
            <w:tcW w:type="dxa" w:w="5076"/>
          </w:tcPr>
          <w:p>
            <w:pPr>
              <w:pStyle w:val="null3"/>
              <w:jc w:val="left"/>
            </w:pPr>
            <w:r>
              <w:rPr/>
              <w:t>项目成员满足《第二章 采购需求》的“项目团队主要成员（不含项目负责人）应不少于6人。”，得4分，在此基础上： 1.项目团队人员（不含项目负责人）专业为交通相关专业且具备中级工程师职称的，每提供1个加0.5分；专业为交通相关专业且具备高级工程师职称的，每提供1个加1分；专业为交通相关专业且具备教授级（正）高级工程师职称的，每提供一个加2分，本项最高加8分。 2.项目团队人员（不含项目负责人）承担过同类项目业绩的，每人加1分，本项最高加3分。 本项最高得15分。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jc w:val="both"/>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r>
        <w:rPr>
          <w:sz w:val="27"/>
          <w:u w:val="single"/>
        </w:rPr>
        <w:t>城维计划-综合交通规划编制经费（子项8：2025年广州市交通发展年度报告及交通评价与决策分析）</w:t>
      </w:r>
    </w:p>
    <w:p>
      <w:pPr>
        <w:pStyle w:val="null3"/>
        <w:jc w:val="both"/>
      </w:pPr>
      <w:r>
        <w:rPr/>
        <w:t xml:space="preserve"> </w:t>
      </w:r>
    </w:p>
    <w:p>
      <w:pPr>
        <w:pStyle w:val="null3"/>
        <w:jc w:val="both"/>
      </w:pPr>
      <w:r>
        <w:rPr>
          <w:sz w:val="27"/>
        </w:rPr>
        <w:t>委托方（甲方）：</w:t>
      </w:r>
      <w:r>
        <w:rPr>
          <w:sz w:val="27"/>
          <w:u w:val="single"/>
        </w:rPr>
        <w:t>广州市规划和自然资源局</w:t>
      </w:r>
    </w:p>
    <w:p>
      <w:pPr>
        <w:pStyle w:val="null3"/>
        <w:jc w:val="both"/>
      </w:pPr>
      <w:r>
        <w:rPr/>
        <w:t xml:space="preserve"> </w:t>
      </w:r>
    </w:p>
    <w:p>
      <w:pPr>
        <w:pStyle w:val="null3"/>
        <w:jc w:val="both"/>
      </w:pPr>
      <w:r>
        <w:rPr>
          <w:sz w:val="27"/>
        </w:rPr>
        <w:t>受托方（乙方）：__________________________</w:t>
      </w:r>
    </w:p>
    <w:p>
      <w:pPr>
        <w:pStyle w:val="null3"/>
        <w:jc w:val="both"/>
      </w:pPr>
      <w:r>
        <w:rPr/>
        <w:t xml:space="preserve"> </w:t>
      </w:r>
    </w:p>
    <w:p>
      <w:pPr>
        <w:pStyle w:val="null3"/>
        <w:jc w:val="both"/>
      </w:pPr>
      <w:r>
        <w:rPr>
          <w:sz w:val="27"/>
        </w:rPr>
        <w:t>签订时间：_________________________________</w:t>
      </w:r>
    </w:p>
    <w:p>
      <w:pPr>
        <w:pStyle w:val="null3"/>
        <w:jc w:val="both"/>
      </w:pPr>
      <w:r>
        <w:rPr/>
        <w:t xml:space="preserve"> </w:t>
      </w:r>
    </w:p>
    <w:p>
      <w:pPr>
        <w:pStyle w:val="null3"/>
        <w:jc w:val="both"/>
      </w:pPr>
      <w:r>
        <w:rPr>
          <w:sz w:val="27"/>
        </w:rPr>
        <w:t>签订地点：_________________________________</w:t>
      </w:r>
    </w:p>
    <w:p>
      <w:pPr>
        <w:pStyle w:val="null3"/>
        <w:jc w:val="both"/>
      </w:pPr>
      <w:r>
        <w:rPr/>
        <w:t xml:space="preserve"> </w:t>
      </w:r>
    </w:p>
    <w:p>
      <w:pPr>
        <w:pStyle w:val="null3"/>
        <w:jc w:val="both"/>
      </w:pPr>
      <w:r>
        <w:rPr>
          <w:sz w:val="27"/>
        </w:rPr>
        <w:t>有效期限：_________________________________</w:t>
      </w:r>
    </w:p>
    <w:p>
      <w:pPr>
        <w:pStyle w:val="null3"/>
        <w:jc w:val="both"/>
      </w:pPr>
      <w:r>
        <w:rPr/>
        <w:t xml:space="preserve"> </w:t>
      </w:r>
    </w:p>
    <w:p>
      <w:pPr>
        <w:pStyle w:val="null3"/>
        <w:jc w:val="both"/>
      </w:pPr>
      <w:r>
        <w:rPr/>
        <w:t xml:space="preserve"> </w:t>
      </w:r>
    </w:p>
    <w:p>
      <w:pPr>
        <w:pStyle w:val="null3"/>
        <w:jc w:val="center"/>
      </w:pPr>
      <w:r>
        <w:rPr/>
        <w:t xml:space="preserve"> </w:t>
      </w:r>
    </w:p>
    <w:p>
      <w:pPr>
        <w:pStyle w:val="null3"/>
        <w:jc w:val="center"/>
      </w:pPr>
      <w:r>
        <w:rPr>
          <w:sz w:val="24"/>
          <w:b/>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jc w:val="center"/>
      </w:pPr>
      <w:r>
        <w:rPr>
          <w:sz w:val="24"/>
        </w:rPr>
        <w:t>一、本合同为中华人民共和国科学技术部印制的技术服务合同示范文本，各技术合同认定登记机构可推介技术合同当事人参照使用。</w:t>
      </w:r>
    </w:p>
    <w:p>
      <w:pPr>
        <w:pStyle w:val="null3"/>
        <w:ind w:firstLine="485"/>
        <w:jc w:val="both"/>
      </w:pPr>
      <w:r>
        <w:rPr>
          <w:sz w:val="24"/>
        </w:rPr>
        <w:t>二、本合同书适用于一方当事人（受托方）以技术知识为另一方（委托方）解决特定技术问题所订立的合同。</w:t>
      </w:r>
    </w:p>
    <w:p>
      <w:pPr>
        <w:pStyle w:val="null3"/>
        <w:ind w:firstLine="485"/>
        <w:jc w:val="both"/>
      </w:pPr>
      <w:r>
        <w:rPr>
          <w:sz w:val="24"/>
        </w:rPr>
        <w:t>三、签约一方为多个当事人的，可按各自在合同关系中的作用等，在“委托方”、“受托方”项下（增页）分别排列为共同委托人或共同受托人。</w:t>
      </w:r>
    </w:p>
    <w:p>
      <w:pPr>
        <w:pStyle w:val="null3"/>
        <w:ind w:firstLine="485"/>
        <w:jc w:val="both"/>
      </w:pPr>
      <w:r>
        <w:rPr>
          <w:sz w:val="24"/>
        </w:rPr>
        <w:t>四、本合同书未尽事项，可由当事人附页另行约定，并作为本合同的组成部分。</w:t>
      </w:r>
    </w:p>
    <w:p>
      <w:pPr>
        <w:pStyle w:val="null3"/>
        <w:ind w:firstLine="485"/>
        <w:jc w:val="both"/>
      </w:pPr>
      <w:r>
        <w:rPr>
          <w:sz w:val="24"/>
        </w:rPr>
        <w:t>五、当事人使用本合同书时约定无需填写的条款，应在该条款处注明“无”等字样。</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485"/>
        <w:jc w:val="both"/>
      </w:pPr>
      <w:r>
        <w:rPr/>
        <w:t xml:space="preserve"> </w:t>
      </w:r>
    </w:p>
    <w:p>
      <w:pPr>
        <w:pStyle w:val="null3"/>
        <w:ind w:firstLine="709"/>
        <w:jc w:val="center"/>
      </w:pPr>
      <w:r>
        <w:rPr>
          <w:sz w:val="27"/>
          <w:b/>
        </w:rPr>
        <w:t>技术服务合同</w:t>
      </w:r>
    </w:p>
    <w:p>
      <w:pPr>
        <w:pStyle w:val="null3"/>
        <w:jc w:val="both"/>
      </w:pPr>
      <w:r>
        <w:rPr>
          <w:sz w:val="24"/>
        </w:rPr>
        <w:t>委托方（甲方）：</w:t>
      </w:r>
      <w:r>
        <w:rPr>
          <w:sz w:val="24"/>
          <w:u w:val="single"/>
        </w:rPr>
        <w:t>广州市规划和自然资源局</w:t>
      </w:r>
    </w:p>
    <w:p>
      <w:pPr>
        <w:pStyle w:val="null3"/>
        <w:jc w:val="both"/>
      </w:pPr>
      <w:r>
        <w:rPr>
          <w:sz w:val="24"/>
        </w:rPr>
        <w:t>住所地：</w:t>
      </w:r>
      <w:r>
        <w:rPr>
          <w:sz w:val="24"/>
          <w:u w:val="single"/>
        </w:rPr>
        <w:t>广州市越秀区吉祥路80号</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r>
        <w:rPr>
          <w:sz w:val="24"/>
          <w:u w:val="single"/>
        </w:rPr>
        <w:t>广州市吉祥路80号</w:t>
      </w:r>
    </w:p>
    <w:p>
      <w:pPr>
        <w:pStyle w:val="null3"/>
        <w:jc w:val="both"/>
      </w:pPr>
      <w:r>
        <w:rPr>
          <w:sz w:val="24"/>
        </w:rPr>
        <w:t>电话：传真：</w:t>
      </w:r>
    </w:p>
    <w:p>
      <w:pPr>
        <w:pStyle w:val="null3"/>
        <w:jc w:val="both"/>
      </w:pPr>
      <w:r>
        <w:rPr>
          <w:sz w:val="24"/>
        </w:rPr>
        <w:t>电子信箱：</w:t>
      </w:r>
    </w:p>
    <w:p>
      <w:pPr>
        <w:pStyle w:val="null3"/>
        <w:jc w:val="both"/>
      </w:pPr>
      <w:r>
        <w:rPr>
          <w:sz w:val="24"/>
        </w:rPr>
        <w:t>受托方（乙方）：</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ind w:firstLine="709"/>
        <w:jc w:val="center"/>
      </w:pPr>
      <w:r>
        <w:rPr>
          <w:sz w:val="24"/>
        </w:rPr>
        <w:t>本合同甲方委托乙方就</w:t>
      </w:r>
      <w:r>
        <w:rPr>
          <w:sz w:val="24"/>
          <w:u w:val="single"/>
        </w:rPr>
        <w:t>城维计划-综合交通规划编制经费（子项8：2025年广州市交通发展年度报告及交通评价与决策分析）</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24"/>
        <w:jc w:val="both"/>
      </w:pPr>
      <w:r>
        <w:rPr>
          <w:sz w:val="24"/>
          <w:b/>
        </w:rPr>
        <w:t>第一条：</w:t>
      </w:r>
      <w:r>
        <w:rPr>
          <w:sz w:val="24"/>
        </w:rPr>
        <w:t>甲方委托乙方进行技术服务的内容如下：</w:t>
      </w:r>
    </w:p>
    <w:p>
      <w:pPr>
        <w:pStyle w:val="null3"/>
        <w:ind w:firstLine="422"/>
        <w:jc w:val="both"/>
      </w:pPr>
      <w:r>
        <w:rPr>
          <w:sz w:val="24"/>
        </w:rPr>
        <w:t>1</w:t>
      </w:r>
      <w:r>
        <w:rPr>
          <w:sz w:val="24"/>
        </w:rPr>
        <w:t>．</w:t>
      </w:r>
      <w:r>
        <w:rPr>
          <w:sz w:val="24"/>
        </w:rPr>
        <w:t>技术服务的目标：</w:t>
      </w:r>
      <w:r>
        <w:rPr>
          <w:sz w:val="24"/>
          <w:u w:val="single"/>
        </w:rPr>
        <w:t>为大数据采集与处理、年度现状交通评价、年度规划决策分析、年度交通热点和重难点问题分析等。</w:t>
      </w:r>
    </w:p>
    <w:p>
      <w:pPr>
        <w:pStyle w:val="null3"/>
        <w:ind w:firstLine="422"/>
        <w:jc w:val="both"/>
      </w:pPr>
      <w:r>
        <w:rPr>
          <w:sz w:val="24"/>
        </w:rPr>
        <w:t>2</w:t>
      </w:r>
      <w:r>
        <w:rPr>
          <w:sz w:val="24"/>
        </w:rPr>
        <w:t>．</w:t>
      </w:r>
      <w:r>
        <w:rPr>
          <w:sz w:val="24"/>
        </w:rPr>
        <w:t>研究范围：</w:t>
      </w:r>
      <w:r>
        <w:rPr>
          <w:sz w:val="24"/>
          <w:u w:val="single"/>
        </w:rPr>
        <w:t>重点范围为粤港澳大湾区，包含珠三角9市及香港、澳门；详细范围为广州大都市圈，主要是广州对外1小时通勤圈；核心范围为广州市域范围，包含11个区。</w:t>
      </w:r>
    </w:p>
    <w:p>
      <w:pPr>
        <w:pStyle w:val="null3"/>
        <w:ind w:firstLine="422"/>
        <w:jc w:val="both"/>
      </w:pPr>
      <w:r>
        <w:rPr>
          <w:sz w:val="24"/>
        </w:rPr>
        <w:t>3</w:t>
      </w:r>
      <w:r>
        <w:rPr>
          <w:sz w:val="24"/>
        </w:rPr>
        <w:t>．</w:t>
      </w:r>
      <w:r>
        <w:rPr>
          <w:sz w:val="24"/>
        </w:rPr>
        <w:t>技术服务的内容：</w:t>
      </w:r>
    </w:p>
    <w:p>
      <w:pPr>
        <w:pStyle w:val="null3"/>
        <w:ind w:firstLine="422"/>
        <w:jc w:val="both"/>
      </w:pPr>
      <w:r>
        <w:rPr>
          <w:sz w:val="24"/>
          <w:u w:val="single"/>
        </w:rPr>
        <w:t>项目主要内容划分为大数据采集与处理、年度现状交通评价、年度规划决策分析、年度交通热点和重难点问题分析等。具体内容如下：</w:t>
      </w:r>
    </w:p>
    <w:p>
      <w:pPr>
        <w:pStyle w:val="null3"/>
        <w:ind w:firstLine="422"/>
        <w:jc w:val="both"/>
      </w:pPr>
      <w:r>
        <w:rPr>
          <w:sz w:val="24"/>
          <w:u w:val="single"/>
        </w:rPr>
        <w:t>（1）大数据采集与处理</w:t>
      </w:r>
    </w:p>
    <w:p>
      <w:pPr>
        <w:pStyle w:val="null3"/>
        <w:ind w:firstLine="422"/>
        <w:jc w:val="both"/>
      </w:pPr>
      <w:r>
        <w:rPr>
          <w:sz w:val="24"/>
          <w:u w:val="single"/>
        </w:rPr>
        <w:t>对手机信令数据、互联网位置大数据、交通调查数据、道路卡口数据、IC卡数据等多源大数据开展数据采集、挖掘与处理，并对广州市交通模型进行年度更新。</w:t>
      </w:r>
    </w:p>
    <w:p>
      <w:pPr>
        <w:pStyle w:val="null3"/>
        <w:ind w:firstLine="422"/>
        <w:jc w:val="both"/>
      </w:pPr>
      <w:r>
        <w:rPr>
          <w:sz w:val="24"/>
          <w:u w:val="single"/>
        </w:rPr>
        <w:t>（2）年度现状交通评价</w:t>
      </w:r>
    </w:p>
    <w:p>
      <w:pPr>
        <w:pStyle w:val="null3"/>
        <w:ind w:firstLine="422"/>
        <w:jc w:val="both"/>
      </w:pPr>
      <w:r>
        <w:rPr>
          <w:sz w:val="24"/>
          <w:u w:val="single"/>
        </w:rPr>
        <w:t>从枢纽交通、区域交通、需求与供应、道路和轨道“两张网”运行及可持续发展等维度对年度交通情况开展评价，总结运行特征及存在问题。具体包括：</w:t>
      </w:r>
    </w:p>
    <w:p>
      <w:pPr>
        <w:pStyle w:val="null3"/>
        <w:ind w:firstLine="422"/>
        <w:jc w:val="both"/>
      </w:pPr>
      <w:r>
        <w:rPr>
          <w:sz w:val="24"/>
          <w:u w:val="single"/>
        </w:rPr>
        <w:t>①年度交通发展综述。对广州市2025年度及“十四五”期间交通发展情况进行全面总结，提出发展趋势与相关建议。</w:t>
      </w:r>
    </w:p>
    <w:p>
      <w:pPr>
        <w:pStyle w:val="null3"/>
        <w:ind w:firstLine="422"/>
        <w:jc w:val="both"/>
      </w:pPr>
      <w:r>
        <w:rPr>
          <w:sz w:val="24"/>
          <w:u w:val="single"/>
        </w:rPr>
        <w:t>②国际综合交通枢纽。基于广州市建设国际综合交通枢纽的发展目标，对广州市航空、航运、铁路、公路等对外交通的发展情况进行评估分析。</w:t>
      </w:r>
    </w:p>
    <w:p>
      <w:pPr>
        <w:pStyle w:val="null3"/>
        <w:ind w:firstLine="422"/>
        <w:jc w:val="both"/>
      </w:pPr>
      <w:r>
        <w:rPr>
          <w:sz w:val="24"/>
          <w:u w:val="single"/>
        </w:rPr>
        <w:t>③广州与大湾区（含南沙与大湾区）。基于大湾区发展目标及广州城市定位，对广州与大湾区城市间的交通发展状况进行评估分析，以及对南沙对外交通评估。</w:t>
      </w:r>
    </w:p>
    <w:p>
      <w:pPr>
        <w:pStyle w:val="null3"/>
        <w:ind w:firstLine="422"/>
        <w:jc w:val="both"/>
      </w:pPr>
      <w:r>
        <w:rPr>
          <w:sz w:val="24"/>
          <w:u w:val="single"/>
        </w:rPr>
        <w:t>④城市交通需求与供应。对广州市的人口、经济、机动车发展、交通需求特征、交通基础设施等发展情况进行总结分析，评价职住平衡、中心城区非核心功能疏解、交通用地效率以及综合交通与城市空间的协同程度。</w:t>
      </w:r>
    </w:p>
    <w:p>
      <w:pPr>
        <w:pStyle w:val="null3"/>
        <w:ind w:firstLine="422"/>
        <w:jc w:val="both"/>
      </w:pPr>
      <w:r>
        <w:rPr>
          <w:sz w:val="24"/>
          <w:u w:val="single"/>
        </w:rPr>
        <w:t>⑤道路空间利用。从时空等角度对广州市各圈层道路交通流量分布、道路交通运作、慢行发展情况等进行总结分析，分析道路交通拥堵和交通承载力情况。</w:t>
      </w:r>
    </w:p>
    <w:p>
      <w:pPr>
        <w:pStyle w:val="null3"/>
        <w:ind w:firstLine="422"/>
        <w:jc w:val="both"/>
      </w:pPr>
      <w:r>
        <w:rPr>
          <w:sz w:val="24"/>
          <w:u w:val="single"/>
        </w:rPr>
        <w:t>⑥公交都市建设。对广州市公共交通的总体特征及轨道交通、常规公交、辅助型公共交通等的发展情况进行总结分析，以及对城际和城市轨道低效站点评价分析。</w:t>
      </w:r>
    </w:p>
    <w:p>
      <w:pPr>
        <w:pStyle w:val="null3"/>
        <w:ind w:firstLine="422"/>
        <w:jc w:val="both"/>
      </w:pPr>
      <w:r>
        <w:rPr>
          <w:sz w:val="24"/>
          <w:u w:val="single"/>
        </w:rPr>
        <w:t>⑦城市交通综合治理。对广州市交通安全、交通管理、交通环境、低碳交通的发展情况进行总结分析。</w:t>
      </w:r>
    </w:p>
    <w:p>
      <w:pPr>
        <w:pStyle w:val="null3"/>
        <w:ind w:firstLine="422"/>
        <w:jc w:val="both"/>
      </w:pPr>
      <w:r>
        <w:rPr>
          <w:sz w:val="24"/>
          <w:u w:val="single"/>
        </w:rPr>
        <w:t>⑧货运物流发展。对航空、航运、铁路和公路等的货物运输发展情况进行总结分析。</w:t>
      </w:r>
    </w:p>
    <w:p>
      <w:pPr>
        <w:pStyle w:val="null3"/>
        <w:ind w:firstLine="422"/>
        <w:jc w:val="both"/>
      </w:pPr>
      <w:r>
        <w:rPr>
          <w:sz w:val="24"/>
          <w:u w:val="single"/>
        </w:rPr>
        <w:t>⑨广州市可持续发展指标评估，基于广州市地方标准《城市交通可持续发展评估指标体系（DB4401/T279—2024）》，开展广州市可持续发展指标评估，包括人本出行、绿色低碳、服务有力等层面的定量评估。</w:t>
      </w:r>
    </w:p>
    <w:p>
      <w:pPr>
        <w:pStyle w:val="null3"/>
        <w:ind w:firstLine="422"/>
        <w:jc w:val="both"/>
      </w:pPr>
      <w:r>
        <w:rPr>
          <w:sz w:val="24"/>
          <w:u w:val="single"/>
        </w:rPr>
        <w:t>（3）年度规划决策分析</w:t>
      </w:r>
    </w:p>
    <w:p>
      <w:pPr>
        <w:pStyle w:val="null3"/>
        <w:ind w:firstLine="422"/>
        <w:jc w:val="both"/>
      </w:pPr>
      <w:r>
        <w:rPr>
          <w:sz w:val="24"/>
          <w:u w:val="single"/>
        </w:rPr>
        <w:t>结合城市交通发展趋势，从重点发展极核跟踪分析、黄金内湾发展等方面开展年度规划决策分析，研判城市发展热点和重难点，包括但不限于以下主要内容：</w:t>
      </w:r>
    </w:p>
    <w:p>
      <w:pPr>
        <w:pStyle w:val="null3"/>
        <w:ind w:firstLine="422"/>
        <w:jc w:val="both"/>
      </w:pPr>
      <w:r>
        <w:rPr>
          <w:sz w:val="24"/>
          <w:u w:val="single"/>
        </w:rPr>
        <w:t>①城市交通发展趋势研判：基于城市交通模型对城市交通发展趋势进行研判，提出城市交通发展关注的热点和重难点问题。</w:t>
      </w:r>
    </w:p>
    <w:p>
      <w:pPr>
        <w:pStyle w:val="null3"/>
        <w:ind w:firstLine="422"/>
        <w:jc w:val="both"/>
      </w:pPr>
      <w:r>
        <w:rPr>
          <w:sz w:val="24"/>
          <w:u w:val="single"/>
        </w:rPr>
        <w:t>②国土空间规划“三核四极”交通发展特征跟踪。对东部中心、南沙新区两大极核的交通发展进行跟踪，包括人口岗位、交通客流、方式特征等方面的发展情况，提出促进两大极核交通加快发展的策略建议。</w:t>
      </w:r>
    </w:p>
    <w:p>
      <w:pPr>
        <w:pStyle w:val="null3"/>
        <w:ind w:firstLine="422"/>
        <w:jc w:val="both"/>
      </w:pPr>
      <w:r>
        <w:rPr>
          <w:sz w:val="24"/>
          <w:u w:val="single"/>
        </w:rPr>
        <w:t>③黄金内湾交通发展特征分析。对黄金内湾交通发展特征进行跟踪分析，研判黄金内湾交通发展态势，为黄金内湾规划提供决策支撑。</w:t>
      </w:r>
    </w:p>
    <w:p>
      <w:pPr>
        <w:pStyle w:val="null3"/>
        <w:ind w:firstLine="422"/>
        <w:jc w:val="both"/>
      </w:pPr>
      <w:r>
        <w:rPr>
          <w:sz w:val="24"/>
          <w:u w:val="single"/>
        </w:rPr>
        <w:t>④新城交通规划落地效果分析。重点对琶洲西区互联网集聚区、白云设计之都、番禺万博等建成新城试行的小街区密路网、地下环路等新理念开展运行效果评价检讨，总结经验教训，指导新时期的新城交通系统规划建设。</w:t>
      </w:r>
    </w:p>
    <w:p>
      <w:pPr>
        <w:pStyle w:val="null3"/>
        <w:ind w:firstLine="422"/>
        <w:jc w:val="both"/>
      </w:pPr>
      <w:r>
        <w:rPr>
          <w:sz w:val="24"/>
          <w:u w:val="single"/>
        </w:rPr>
        <w:t>（4）年度交通热点和重难点问题分析</w:t>
      </w:r>
    </w:p>
    <w:p>
      <w:pPr>
        <w:pStyle w:val="null3"/>
        <w:ind w:firstLine="422"/>
        <w:jc w:val="both"/>
      </w:pPr>
      <w:r>
        <w:rPr>
          <w:sz w:val="24"/>
          <w:u w:val="single"/>
        </w:rPr>
        <w:t>基于年度现状交通评价和规划决策分析成果，结合近期城市和交通发展的重点方向，提前研判近期交通发展存在的重点问题并进行分析，为规划决策提供支撑。具体内容可结合规划管理重点工作适度调整，拟定2025年重点问题研判内容包括但不限于以下主要内容：</w:t>
      </w:r>
    </w:p>
    <w:p>
      <w:pPr>
        <w:pStyle w:val="null3"/>
        <w:ind w:firstLine="422"/>
        <w:jc w:val="both"/>
      </w:pPr>
      <w:r>
        <w:rPr>
          <w:sz w:val="24"/>
          <w:u w:val="single"/>
        </w:rPr>
        <w:t>①骨架轨网成型背景下广州市常规公交高质量发展规划策略研究。随着2025年多条在建线路的开通，广州市骨架轨道线网“环线+放射线+X线”的骨架结构即将成型，有必要重新审视常规公交线网在骨架轨网成型背景下的适应性。具体包括：①广州市公共交通发展特征与趋势研判；②公交转型发展国际经验；③常规公交与轨道交通线网适配性与协同性分析；④公共交通发展策略研究。</w:t>
      </w:r>
    </w:p>
    <w:p>
      <w:pPr>
        <w:pStyle w:val="null3"/>
        <w:ind w:firstLine="422"/>
        <w:jc w:val="both"/>
      </w:pPr>
      <w:r>
        <w:rPr>
          <w:sz w:val="24"/>
          <w:u w:val="single"/>
        </w:rPr>
        <w:t>②广州市道路网络韧性分析及优化策略研究。基于近年来公共卫生事件、极端天气、施工事故和突发事件等频发对道路网络的扰动影响，建立交通韧性评价指标体系，结合十四五期间道路网络韧性评估，分析存在问题并对十五五道路网络规划提出优化建议。内容包括：①韧性评价指标体系构建。②现状路网韧性评价及影响因素分析。③路网韧性提升策略研究。</w:t>
      </w:r>
    </w:p>
    <w:p>
      <w:pPr>
        <w:pStyle w:val="null3"/>
        <w:ind w:firstLine="422"/>
        <w:jc w:val="both"/>
      </w:pPr>
      <w:r>
        <w:rPr>
          <w:sz w:val="24"/>
          <w:u w:val="single"/>
        </w:rPr>
        <w:t>③广州市交通可达性指标体系构建与可达性提升策略。从国土空间规划和CSPON建设要求出发，研究广州市多尺度可达性评价指标体系构建，并研究其应用场景和示范应用。具体内容包括：①CSPON导向下的可达性评价指标体系构建。②评价标准与指标计算。③可达性应用场景库构建。④可达性提升建议。</w:t>
      </w:r>
    </w:p>
    <w:p>
      <w:pPr>
        <w:pStyle w:val="null3"/>
        <w:ind w:firstLine="422"/>
        <w:jc w:val="both"/>
      </w:pPr>
      <w:r>
        <w:rPr>
          <w:sz w:val="24"/>
          <w:u w:val="single"/>
        </w:rPr>
        <w:t>④其他热点及重难点任务分析。针对年度交通规划管理工作中其他的热点、难点和重点问题开展专项研究，提出对策与建议。采用“一事一议”形式，简明扼要、结论明晰并具备决策参考价值。分析内容大纲包括①基本情况分析。收集研究事项的基本信息及数据，包括背景、现状及规划、相关政策、发展目标等，分析研究对象的基本情况。②存在问题分析。针对每个事项，开展实地调研，深入分析问题，归纳总结成因，为决策方案提供支撑。③决策方案研究。针对事项具体情况，问题导向与目标导向相结合，充分协调各种影响因素，提出具有决策参考作用的方案。</w:t>
      </w:r>
    </w:p>
    <w:p>
      <w:pPr>
        <w:pStyle w:val="null3"/>
        <w:ind w:firstLine="422"/>
        <w:jc w:val="both"/>
      </w:pPr>
      <w:r>
        <w:rPr>
          <w:sz w:val="24"/>
        </w:rPr>
        <w:t>4</w:t>
      </w:r>
      <w:r>
        <w:rPr>
          <w:sz w:val="24"/>
        </w:rPr>
        <w:t>．</w:t>
      </w:r>
      <w:r>
        <w:rPr>
          <w:sz w:val="24"/>
        </w:rPr>
        <w:t>技术服务的方式：</w:t>
      </w:r>
      <w:r>
        <w:rPr>
          <w:sz w:val="24"/>
          <w:u w:val="single"/>
        </w:rPr>
        <w:t>总价包干</w:t>
      </w:r>
      <w:r>
        <w:rPr>
          <w:sz w:val="24"/>
        </w:rPr>
        <w:t>。</w:t>
      </w:r>
    </w:p>
    <w:p>
      <w:pPr>
        <w:pStyle w:val="null3"/>
        <w:ind w:firstLine="422"/>
        <w:jc w:val="both"/>
      </w:pPr>
      <w:r>
        <w:rPr>
          <w:sz w:val="24"/>
        </w:rPr>
        <w:t>5</w:t>
      </w:r>
      <w:r>
        <w:rPr>
          <w:sz w:val="24"/>
        </w:rPr>
        <w:t>．</w:t>
      </w:r>
      <w:r>
        <w:rPr>
          <w:sz w:val="24"/>
          <w:u w:val="single"/>
        </w:rPr>
        <w:t>为保证项目工作的持续性，承接单位需提供后续服务保障，协助完成项目报批及成果宣传工作。</w:t>
      </w:r>
    </w:p>
    <w:p>
      <w:pPr>
        <w:pStyle w:val="null3"/>
        <w:ind w:firstLine="424"/>
        <w:jc w:val="both"/>
      </w:pPr>
      <w:r>
        <w:rPr>
          <w:sz w:val="24"/>
          <w:b/>
        </w:rPr>
        <w:t>第二条：</w:t>
      </w:r>
      <w:r>
        <w:rPr>
          <w:sz w:val="24"/>
        </w:rPr>
        <w:t>乙方应按下列要求完成技术服务工作：</w:t>
      </w:r>
    </w:p>
    <w:p>
      <w:pPr>
        <w:pStyle w:val="null3"/>
        <w:ind w:firstLine="422"/>
        <w:jc w:val="both"/>
      </w:pPr>
      <w:r>
        <w:rPr>
          <w:sz w:val="24"/>
        </w:rPr>
        <w:t>1．技术服务地点：</w:t>
      </w:r>
      <w:r>
        <w:rPr>
          <w:sz w:val="24"/>
          <w:u w:val="single"/>
        </w:rPr>
        <w:t>广州市</w:t>
      </w:r>
    </w:p>
    <w:p>
      <w:pPr>
        <w:pStyle w:val="null3"/>
        <w:ind w:firstLine="422"/>
        <w:jc w:val="both"/>
      </w:pPr>
      <w:r>
        <w:rPr>
          <w:sz w:val="24"/>
        </w:rPr>
        <w:t>2．技术服务期限：自合同签订之日起至2026年12月31日。</w:t>
      </w:r>
    </w:p>
    <w:p>
      <w:pPr>
        <w:pStyle w:val="null3"/>
        <w:ind w:firstLine="422"/>
        <w:jc w:val="both"/>
      </w:pPr>
      <w:r>
        <w:rPr>
          <w:sz w:val="24"/>
        </w:rPr>
        <w:t>3．技术服务团队要求：</w:t>
      </w:r>
      <w:r>
        <w:rPr>
          <w:sz w:val="24"/>
          <w:u w:val="single"/>
        </w:rPr>
        <w:t>乙方所提交的项目组成员名单以及项目负责人未经书面申请并获得甲方同意，不得更换。项目汇报应由项目负责人汇报，未经甲方同意不得调整汇报人。</w:t>
      </w:r>
    </w:p>
    <w:p>
      <w:pPr>
        <w:pStyle w:val="null3"/>
        <w:ind w:firstLine="422"/>
        <w:jc w:val="both"/>
      </w:pPr>
      <w:r>
        <w:rPr>
          <w:sz w:val="24"/>
        </w:rPr>
        <w:t>4．技术服务进度：</w:t>
      </w:r>
      <w:r>
        <w:rPr>
          <w:sz w:val="24"/>
          <w:u w:val="single"/>
        </w:rPr>
        <w:t xml:space="preserve">           。</w:t>
      </w:r>
    </w:p>
    <w:p>
      <w:pPr>
        <w:pStyle w:val="null3"/>
        <w:ind w:firstLine="422"/>
        <w:jc w:val="both"/>
      </w:pPr>
      <w:r>
        <w:rPr>
          <w:sz w:val="24"/>
        </w:rPr>
        <w:t>5．技术服务质量要求：</w:t>
      </w:r>
    </w:p>
    <w:p>
      <w:pPr>
        <w:pStyle w:val="null3"/>
        <w:ind w:firstLine="422"/>
        <w:jc w:val="both"/>
      </w:pPr>
      <w:r>
        <w:rPr>
          <w:sz w:val="24"/>
          <w:u w:val="single"/>
        </w:rPr>
        <w:t>（1）成果构成：1份项目研究成果主报告、1份广州市交通发展年度报告（2025年）。</w:t>
      </w:r>
    </w:p>
    <w:p>
      <w:pPr>
        <w:pStyle w:val="null3"/>
        <w:ind w:firstLine="422"/>
        <w:jc w:val="both"/>
      </w:pPr>
      <w:r>
        <w:rPr>
          <w:sz w:val="24"/>
          <w:u w:val="single"/>
        </w:rPr>
        <w:t>（2）设计成果内容必须符合需求书中的设计原则、规划内容等有关章节的规定。</w:t>
      </w:r>
    </w:p>
    <w:p>
      <w:pPr>
        <w:pStyle w:val="null3"/>
        <w:ind w:firstLine="422"/>
        <w:jc w:val="both"/>
      </w:pPr>
      <w:r>
        <w:rPr>
          <w:sz w:val="24"/>
          <w:u w:val="single"/>
        </w:rPr>
        <w:t>（3）规划设计成果包括：规划文本、图纸和附件以及相对应的电子文件，符合入库标准。</w:t>
      </w:r>
    </w:p>
    <w:p>
      <w:pPr>
        <w:pStyle w:val="null3"/>
        <w:ind w:firstLine="422"/>
        <w:jc w:val="both"/>
      </w:pPr>
      <w:r>
        <w:rPr>
          <w:sz w:val="24"/>
          <w:u w:val="single"/>
        </w:rPr>
        <w:t>（4）成果深度：设计成果的深度必须符合需求书中的深度要求。</w:t>
      </w:r>
    </w:p>
    <w:p>
      <w:pPr>
        <w:pStyle w:val="null3"/>
        <w:ind w:firstLine="422"/>
        <w:jc w:val="both"/>
      </w:pPr>
      <w:r>
        <w:rPr>
          <w:sz w:val="24"/>
          <w:u w:val="single"/>
        </w:rPr>
        <w:t>（5）在各阶段成果等各阶段汇报交流后，应随即提交项目各阶段性方案的全部电子文件（CAD、PPT、JPG文件格式）。最终成果须提交A4或A3规格的规划文本3套，同时提交全部成果的电子文件（CAD、GIS、JPG、DOC、PDF文件格式,符合入库标准、多媒体汇报文件）3套。</w:t>
      </w:r>
    </w:p>
    <w:p>
      <w:pPr>
        <w:pStyle w:val="null3"/>
        <w:ind w:firstLine="422"/>
        <w:jc w:val="both"/>
      </w:pPr>
      <w:r>
        <w:rPr>
          <w:sz w:val="24"/>
          <w:u w:val="single"/>
        </w:rPr>
        <w:t>（6）成果规范：交付的成果必须签署齐全，设计图纸和文本文件必须做到清晰、完整，尺寸齐全、准确，同类图纸规格应统一。</w:t>
      </w:r>
    </w:p>
    <w:p>
      <w:pPr>
        <w:pStyle w:val="null3"/>
        <w:ind w:firstLine="424"/>
        <w:jc w:val="both"/>
      </w:pPr>
      <w:r>
        <w:rPr>
          <w:sz w:val="24"/>
          <w:b/>
        </w:rPr>
        <w:t>第三条</w:t>
      </w:r>
      <w:r>
        <w:rPr>
          <w:sz w:val="24"/>
        </w:rPr>
        <w:t>：为保证乙方有效进行技术服务工作，甲方应当向乙方提供下列工作条件和协作事项：</w:t>
      </w:r>
    </w:p>
    <w:p>
      <w:pPr>
        <w:pStyle w:val="null3"/>
        <w:ind w:firstLine="422"/>
        <w:jc w:val="both"/>
      </w:pPr>
      <w:r>
        <w:rPr>
          <w:sz w:val="24"/>
        </w:rPr>
        <w:t>1．提供技术资料：</w:t>
      </w:r>
      <w:r>
        <w:rPr>
          <w:sz w:val="24"/>
          <w:u w:val="single"/>
        </w:rPr>
        <w:t>由甲乙双方协商确定</w:t>
      </w:r>
    </w:p>
    <w:p>
      <w:pPr>
        <w:pStyle w:val="null3"/>
        <w:ind w:firstLine="422"/>
        <w:jc w:val="both"/>
      </w:pPr>
      <w:r>
        <w:rPr>
          <w:sz w:val="24"/>
        </w:rPr>
        <w:t>2．提供工作条件：</w:t>
      </w:r>
    </w:p>
    <w:p>
      <w:pPr>
        <w:pStyle w:val="null3"/>
        <w:ind w:firstLine="422"/>
        <w:jc w:val="both"/>
      </w:pPr>
      <w:r>
        <w:rPr>
          <w:sz w:val="24"/>
        </w:rPr>
        <w:t>（1）</w:t>
      </w:r>
      <w:r>
        <w:rPr>
          <w:sz w:val="24"/>
          <w:u w:val="single"/>
        </w:rPr>
        <w:t>协助开展资料收集及现场调查</w:t>
      </w:r>
    </w:p>
    <w:p>
      <w:pPr>
        <w:pStyle w:val="null3"/>
        <w:ind w:firstLine="422"/>
        <w:jc w:val="both"/>
      </w:pPr>
      <w:r>
        <w:rPr>
          <w:sz w:val="24"/>
        </w:rPr>
        <w:t>（2）</w:t>
      </w:r>
      <w:r>
        <w:rPr>
          <w:sz w:val="24"/>
          <w:u w:val="single"/>
        </w:rPr>
        <w:t>负责协调有关部门</w:t>
      </w:r>
    </w:p>
    <w:p>
      <w:pPr>
        <w:pStyle w:val="null3"/>
        <w:ind w:firstLine="422"/>
        <w:jc w:val="both"/>
      </w:pPr>
      <w:r>
        <w:rPr>
          <w:sz w:val="24"/>
        </w:rPr>
        <w:t>3．其他：</w:t>
      </w:r>
      <w:r>
        <w:rPr>
          <w:sz w:val="24"/>
          <w:u w:val="single"/>
        </w:rPr>
        <w:t>负责组织成果评审和报审</w:t>
      </w:r>
    </w:p>
    <w:p>
      <w:pPr>
        <w:pStyle w:val="null3"/>
        <w:ind w:firstLine="422"/>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24"/>
        <w:jc w:val="both"/>
      </w:pPr>
      <w:r>
        <w:rPr>
          <w:sz w:val="24"/>
          <w:b/>
        </w:rPr>
        <w:t>第四条</w:t>
      </w:r>
      <w:r>
        <w:rPr>
          <w:sz w:val="24"/>
        </w:rPr>
        <w:t>：甲方向乙方支付技术服务报酬及支付方式为：</w:t>
      </w:r>
    </w:p>
    <w:p>
      <w:pPr>
        <w:pStyle w:val="null3"/>
        <w:ind w:firstLine="422"/>
        <w:jc w:val="both"/>
      </w:pPr>
      <w:r>
        <w:rPr>
          <w:sz w:val="24"/>
        </w:rPr>
        <w:t>1．技术服务费总额为：</w:t>
      </w:r>
      <w:r>
        <w:rPr>
          <w:sz w:val="24"/>
          <w:u w:val="single"/>
        </w:rPr>
        <w:t>（中标总价）</w:t>
      </w:r>
    </w:p>
    <w:p>
      <w:pPr>
        <w:pStyle w:val="null3"/>
        <w:ind w:firstLine="422"/>
        <w:jc w:val="both"/>
      </w:pPr>
      <w:r>
        <w:rPr>
          <w:sz w:val="24"/>
        </w:rPr>
        <w:t>2．技术服务费由甲方</w:t>
      </w:r>
      <w:r>
        <w:rPr>
          <w:sz w:val="24"/>
          <w:u w:val="single"/>
        </w:rPr>
        <w:t xml:space="preserve"> 分三期  </w:t>
      </w:r>
      <w:r>
        <w:rPr>
          <w:sz w:val="24"/>
        </w:rPr>
        <w:t>支付乙方。</w:t>
      </w:r>
    </w:p>
    <w:p>
      <w:pPr>
        <w:pStyle w:val="null3"/>
        <w:ind w:firstLine="422"/>
        <w:jc w:val="both"/>
      </w:pPr>
      <w:r>
        <w:rPr>
          <w:sz w:val="24"/>
        </w:rPr>
        <w:t>具体支付方式和时间如下：</w:t>
      </w:r>
    </w:p>
    <w:p>
      <w:pPr>
        <w:pStyle w:val="null3"/>
        <w:ind w:firstLine="422"/>
        <w:jc w:val="both"/>
      </w:pPr>
      <w:r>
        <w:rPr>
          <w:sz w:val="24"/>
        </w:rPr>
        <w:t>（1）签订合同后，甲方自收到发票后5个工作日内向乙方支付本项目合同总金额的40%，即人民币(大写)：</w:t>
      </w:r>
      <w:r>
        <w:rPr>
          <w:sz w:val="24"/>
          <w:u w:val="single"/>
        </w:rPr>
        <w:t xml:space="preserve">           </w:t>
      </w:r>
      <w:r>
        <w:rPr>
          <w:sz w:val="24"/>
        </w:rPr>
        <w:t>元整；(小写)：￥</w:t>
      </w:r>
      <w:r>
        <w:rPr>
          <w:sz w:val="24"/>
          <w:u w:val="single"/>
        </w:rPr>
        <w:t xml:space="preserve">           </w:t>
      </w:r>
      <w:r>
        <w:rPr>
          <w:sz w:val="24"/>
        </w:rPr>
        <w:t>。预计在2025年3月31日前支付第一期费用。</w:t>
      </w:r>
    </w:p>
    <w:p>
      <w:pPr>
        <w:pStyle w:val="null3"/>
        <w:ind w:firstLine="422"/>
        <w:jc w:val="both"/>
      </w:pPr>
      <w:r>
        <w:rPr>
          <w:sz w:val="24"/>
        </w:rPr>
        <w:t>（2）2025年9月30日前，乙方按期完成规划成果，并通过专家评审后申请拨付合同经费，合同总金额的20%，即人民币(大写)：</w:t>
      </w:r>
      <w:r>
        <w:rPr>
          <w:sz w:val="24"/>
          <w:u w:val="single"/>
        </w:rPr>
        <w:t xml:space="preserve">           </w:t>
      </w:r>
      <w:r>
        <w:rPr>
          <w:sz w:val="24"/>
        </w:rPr>
        <w:t>元整；(小写)：￥</w:t>
      </w:r>
      <w:r>
        <w:rPr>
          <w:sz w:val="24"/>
          <w:u w:val="single"/>
        </w:rPr>
        <w:t xml:space="preserve">           </w:t>
      </w:r>
      <w:r>
        <w:rPr>
          <w:sz w:val="24"/>
        </w:rPr>
        <w:t>。预计在2025年9月30日前支付第二期费用。</w:t>
      </w:r>
    </w:p>
    <w:p>
      <w:pPr>
        <w:pStyle w:val="null3"/>
        <w:ind w:firstLine="422"/>
        <w:jc w:val="both"/>
      </w:pPr>
      <w:r>
        <w:rPr>
          <w:sz w:val="24"/>
        </w:rPr>
        <w:t>（3）2026年4月30日前，乙方根据甲方审查意见修改规划成果。最终成果经甲方验收通过并出具结题函，待成果归档后申请拨付合同经费，合同总金额的40%，即人民币(大写)：</w:t>
      </w:r>
      <w:r>
        <w:rPr>
          <w:sz w:val="24"/>
          <w:u w:val="single"/>
        </w:rPr>
        <w:t xml:space="preserve">           </w:t>
      </w:r>
      <w:r>
        <w:rPr>
          <w:sz w:val="24"/>
        </w:rPr>
        <w:t>元整；(小写)：￥</w:t>
      </w:r>
      <w:r>
        <w:rPr>
          <w:sz w:val="24"/>
          <w:u w:val="single"/>
        </w:rPr>
        <w:t xml:space="preserve">           </w:t>
      </w:r>
      <w:r>
        <w:rPr>
          <w:sz w:val="24"/>
        </w:rPr>
        <w:t>。预计在2026年4月30日前支付第三期费用。</w:t>
      </w:r>
    </w:p>
    <w:p>
      <w:pPr>
        <w:pStyle w:val="null3"/>
        <w:ind w:firstLine="422"/>
        <w:jc w:val="both"/>
      </w:pPr>
      <w:r>
        <w:rPr>
          <w:sz w:val="24"/>
        </w:rPr>
        <w:t>（4）对于满足合同支付条件的，甲方原则上应当在收到发票后5个工作日内按照《广州市本级财政直接支付用款申请办事指南》办理支付手续。</w:t>
      </w:r>
    </w:p>
    <w:p>
      <w:pPr>
        <w:pStyle w:val="null3"/>
        <w:ind w:firstLine="422"/>
        <w:jc w:val="both"/>
      </w:pPr>
      <w:r>
        <w:rPr>
          <w:sz w:val="24"/>
        </w:rPr>
        <w:t>（5）每次按合同支付款项前，乙方应向甲方提供与支付金额相符的有效发票，且收款方、出具发票方、合同乙方均必须与乙方名称一致。</w:t>
      </w:r>
    </w:p>
    <w:p>
      <w:pPr>
        <w:pStyle w:val="null3"/>
        <w:ind w:firstLine="422"/>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22"/>
        <w:jc w:val="both"/>
      </w:pPr>
      <w:r>
        <w:rPr>
          <w:sz w:val="24"/>
        </w:rPr>
        <w:t>乙方开户银行名称、地址和账号为：</w:t>
      </w:r>
    </w:p>
    <w:p>
      <w:pPr>
        <w:pStyle w:val="null3"/>
        <w:ind w:firstLine="422"/>
        <w:jc w:val="both"/>
      </w:pPr>
      <w:r>
        <w:rPr>
          <w:sz w:val="24"/>
        </w:rPr>
        <w:t>开户银行：</w:t>
      </w:r>
    </w:p>
    <w:p>
      <w:pPr>
        <w:pStyle w:val="null3"/>
        <w:ind w:firstLine="422"/>
        <w:jc w:val="both"/>
      </w:pPr>
      <w:r>
        <w:rPr>
          <w:sz w:val="24"/>
        </w:rPr>
        <w:t>地址：</w:t>
      </w:r>
    </w:p>
    <w:p>
      <w:pPr>
        <w:pStyle w:val="null3"/>
        <w:ind w:firstLine="422"/>
        <w:jc w:val="both"/>
      </w:pPr>
      <w:r>
        <w:rPr>
          <w:sz w:val="24"/>
        </w:rPr>
        <w:t>账号：</w:t>
      </w:r>
    </w:p>
    <w:p>
      <w:pPr>
        <w:pStyle w:val="null3"/>
        <w:ind w:firstLine="424"/>
        <w:jc w:val="both"/>
      </w:pPr>
      <w:r>
        <w:rPr>
          <w:sz w:val="24"/>
          <w:b/>
        </w:rPr>
        <w:t>第五条</w:t>
      </w:r>
      <w:r>
        <w:rPr>
          <w:sz w:val="24"/>
        </w:rPr>
        <w:t>：双方确定因履行本合同应遵守的保密义务如下：</w:t>
      </w:r>
    </w:p>
    <w:p>
      <w:pPr>
        <w:pStyle w:val="null3"/>
        <w:ind w:firstLine="422"/>
        <w:jc w:val="both"/>
      </w:pPr>
      <w:r>
        <w:rPr>
          <w:sz w:val="24"/>
        </w:rPr>
        <w:t>1．保密内容（包括技术信息和经营信息）:</w:t>
      </w:r>
      <w:r>
        <w:rPr>
          <w:sz w:val="24"/>
          <w:u w:val="single"/>
        </w:rPr>
        <w:t>全部研究成果，包括各种因使用本项目经费而获得的资料、研究成果的文本和电子文件；</w:t>
      </w:r>
    </w:p>
    <w:p>
      <w:pPr>
        <w:pStyle w:val="null3"/>
        <w:ind w:firstLine="422"/>
        <w:jc w:val="both"/>
      </w:pPr>
      <w:r>
        <w:rPr>
          <w:sz w:val="24"/>
        </w:rPr>
        <w:t>2．涉密人员范围:</w:t>
      </w:r>
      <w:r>
        <w:rPr>
          <w:sz w:val="24"/>
          <w:u w:val="single"/>
        </w:rPr>
        <w:t>参与本项工作的人员；</w:t>
      </w:r>
    </w:p>
    <w:p>
      <w:pPr>
        <w:pStyle w:val="null3"/>
        <w:ind w:firstLine="422"/>
        <w:jc w:val="both"/>
      </w:pPr>
      <w:r>
        <w:rPr>
          <w:sz w:val="24"/>
        </w:rPr>
        <w:t>3．保密期限：合同履行期限内必须执行保密约定，合同履行期限届满后按照法律、法规、规章、规范性文件等规定执行；</w:t>
      </w:r>
    </w:p>
    <w:p>
      <w:pPr>
        <w:pStyle w:val="null3"/>
        <w:ind w:firstLine="422"/>
        <w:jc w:val="both"/>
      </w:pPr>
      <w:r>
        <w:rPr>
          <w:sz w:val="24"/>
        </w:rPr>
        <w:t>4．泄密责任：</w:t>
      </w:r>
      <w:r>
        <w:rPr>
          <w:sz w:val="24"/>
          <w:u w:val="single"/>
        </w:rPr>
        <w:t>按照法律规定承担有关责任</w:t>
      </w:r>
      <w:r>
        <w:rPr>
          <w:sz w:val="24"/>
        </w:rPr>
        <w:t>。</w:t>
      </w:r>
    </w:p>
    <w:p>
      <w:pPr>
        <w:pStyle w:val="null3"/>
        <w:ind w:firstLine="424"/>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22"/>
        <w:jc w:val="both"/>
      </w:pPr>
      <w:r>
        <w:rPr>
          <w:sz w:val="24"/>
        </w:rPr>
        <w:t>1．</w:t>
      </w:r>
      <w:r>
        <w:rPr>
          <w:sz w:val="24"/>
          <w:u w:val="single"/>
        </w:rPr>
        <w:t>国家法律、法规、政策、技术标准和规范、政府计划调整</w:t>
      </w:r>
    </w:p>
    <w:p>
      <w:pPr>
        <w:pStyle w:val="null3"/>
        <w:ind w:firstLine="422"/>
        <w:jc w:val="both"/>
      </w:pPr>
      <w:r>
        <w:rPr>
          <w:sz w:val="24"/>
        </w:rPr>
        <w:t>2．</w:t>
      </w:r>
      <w:r>
        <w:rPr>
          <w:sz w:val="24"/>
          <w:u w:val="single"/>
        </w:rPr>
        <w:t>项目建议书变更</w:t>
      </w:r>
    </w:p>
    <w:p>
      <w:pPr>
        <w:pStyle w:val="null3"/>
        <w:ind w:firstLine="424"/>
        <w:jc w:val="both"/>
      </w:pPr>
      <w:r>
        <w:rPr>
          <w:sz w:val="24"/>
          <w:b/>
        </w:rPr>
        <w:t>第七条：</w:t>
      </w:r>
      <w:r>
        <w:rPr>
          <w:sz w:val="24"/>
        </w:rPr>
        <w:t>双方确定以下列标准和方式对乙方的技术服务工作成果进行验收：</w:t>
      </w:r>
    </w:p>
    <w:p>
      <w:pPr>
        <w:pStyle w:val="null3"/>
        <w:ind w:firstLine="422"/>
        <w:jc w:val="both"/>
      </w:pPr>
      <w:r>
        <w:rPr>
          <w:sz w:val="24"/>
        </w:rPr>
        <w:t>1．乙方完成技术服务工作的形式：</w:t>
      </w:r>
      <w:r>
        <w:rPr>
          <w:sz w:val="24"/>
          <w:u w:val="single"/>
        </w:rPr>
        <w:t>本项工作采取分阶段评审的方式，广州市规划和自然资源局负责组织审查工作</w:t>
      </w:r>
      <w:r>
        <w:rPr>
          <w:sz w:val="24"/>
        </w:rPr>
        <w:t>。</w:t>
      </w:r>
    </w:p>
    <w:p>
      <w:pPr>
        <w:pStyle w:val="null3"/>
        <w:ind w:firstLine="422"/>
        <w:jc w:val="both"/>
      </w:pPr>
      <w:r>
        <w:rPr>
          <w:sz w:val="24"/>
        </w:rPr>
        <w:t>2．技术服务工作成果的验收标准：</w:t>
      </w:r>
      <w:r>
        <w:rPr>
          <w:sz w:val="24"/>
          <w:u w:val="single"/>
        </w:rPr>
        <w:t>符合项目任务书研究内容的要求，且通过甲方组织的专家审查会审查</w:t>
      </w:r>
      <w:r>
        <w:rPr>
          <w:sz w:val="24"/>
        </w:rPr>
        <w:t>。</w:t>
      </w:r>
    </w:p>
    <w:p>
      <w:pPr>
        <w:pStyle w:val="null3"/>
        <w:ind w:firstLine="422"/>
        <w:jc w:val="both"/>
      </w:pPr>
      <w:r>
        <w:rPr>
          <w:sz w:val="24"/>
        </w:rPr>
        <w:t>3．技术服务工作成果的验收方法：</w:t>
      </w:r>
      <w:r>
        <w:rPr>
          <w:sz w:val="24"/>
          <w:u w:val="single"/>
        </w:rPr>
        <w:t>研究成果由广州市规划和自然资源局组织审查；项目承担单位负责提供审查和验收所必须的研究成果和汇报资料</w:t>
      </w:r>
      <w:r>
        <w:rPr>
          <w:sz w:val="24"/>
        </w:rPr>
        <w:t>。</w:t>
      </w:r>
    </w:p>
    <w:p>
      <w:pPr>
        <w:pStyle w:val="null3"/>
        <w:ind w:firstLine="422"/>
        <w:jc w:val="both"/>
      </w:pPr>
      <w:r>
        <w:rPr>
          <w:sz w:val="24"/>
        </w:rPr>
        <w:t>4．验收的时间和地点：</w:t>
      </w:r>
      <w:r>
        <w:rPr>
          <w:sz w:val="24"/>
          <w:u w:val="single"/>
        </w:rPr>
        <w:t>由甲方决定</w:t>
      </w:r>
      <w:r>
        <w:rPr>
          <w:sz w:val="24"/>
        </w:rPr>
        <w:t>。</w:t>
      </w:r>
    </w:p>
    <w:p>
      <w:pPr>
        <w:pStyle w:val="null3"/>
        <w:ind w:firstLine="424"/>
        <w:jc w:val="both"/>
      </w:pPr>
      <w:r>
        <w:rPr>
          <w:sz w:val="24"/>
          <w:b/>
        </w:rPr>
        <w:t>第八条</w:t>
      </w:r>
      <w:r>
        <w:rPr>
          <w:sz w:val="24"/>
        </w:rPr>
        <w:t>：双方确定：</w:t>
      </w:r>
    </w:p>
    <w:p>
      <w:pPr>
        <w:pStyle w:val="null3"/>
        <w:ind w:firstLine="422"/>
        <w:jc w:val="both"/>
      </w:pPr>
      <w:r>
        <w:rPr>
          <w:sz w:val="24"/>
        </w:rPr>
        <w:t>1．在本合同有效期内，甲方利用乙方提交的技术服务工作成果所完成的新的技术成果，归甲方所有。</w:t>
      </w:r>
    </w:p>
    <w:p>
      <w:pPr>
        <w:pStyle w:val="null3"/>
        <w:ind w:firstLine="422"/>
        <w:jc w:val="both"/>
      </w:pPr>
      <w:r>
        <w:rPr>
          <w:sz w:val="24"/>
        </w:rPr>
        <w:t>2．在本合同有效期内，乙方利用甲方提供的技术资料和工作条件所完成的新的技术成果，归甲方所有。</w:t>
      </w:r>
    </w:p>
    <w:p>
      <w:pPr>
        <w:pStyle w:val="null3"/>
        <w:ind w:firstLine="424"/>
        <w:jc w:val="both"/>
      </w:pPr>
      <w:r>
        <w:rPr>
          <w:sz w:val="24"/>
          <w:b/>
        </w:rPr>
        <w:t>第九条</w:t>
      </w:r>
      <w:r>
        <w:rPr>
          <w:sz w:val="24"/>
        </w:rPr>
        <w:t>：双方确定，按以下约定承担各自的违约责任：</w:t>
      </w:r>
    </w:p>
    <w:p>
      <w:pPr>
        <w:pStyle w:val="null3"/>
        <w:ind w:firstLine="422"/>
        <w:jc w:val="both"/>
      </w:pPr>
      <w:r>
        <w:rPr>
          <w:sz w:val="24"/>
          <w:u w:val="single"/>
        </w:rPr>
        <w:t>1．因甲方原因，甲方未能按时提供乙方所需的基础资料和信息，以至使乙方难以按期完成各阶段工作任务，后果由甲方承担，乙方可将完成工作任务时间顺延。</w:t>
      </w:r>
    </w:p>
    <w:p>
      <w:pPr>
        <w:pStyle w:val="null3"/>
        <w:ind w:firstLine="422"/>
        <w:jc w:val="both"/>
      </w:pPr>
      <w:r>
        <w:rPr>
          <w:sz w:val="24"/>
          <w:u w:val="single"/>
        </w:rPr>
        <w:t>2．因甲方原因，甲方未能在合同规定的时间内向乙方支付合同款，每逾期一天，甲方向乙方支付预期未付金额的1%的违约金，支付违约金总金额不超合同总金额的10%。</w:t>
      </w:r>
    </w:p>
    <w:p>
      <w:pPr>
        <w:pStyle w:val="null3"/>
        <w:ind w:firstLine="422"/>
        <w:jc w:val="both"/>
      </w:pPr>
      <w:r>
        <w:rPr>
          <w:sz w:val="24"/>
          <w:u w:val="single"/>
        </w:rPr>
        <w:t>3．因乙方原因，未能在合同规定时间内向甲方交付项目成果，每逾期一天，乙方向甲方支付合同总费用1‰的违约金,支付违约金总金额不超项目总金额的10%。乙方逾期超过  30  天的，甲方有权解除本合同，乙方应在合同解除后  5  天内返还已收取的全部款项，并向甲方支付不超过合同总金额的 10 %的违约金。</w:t>
      </w:r>
    </w:p>
    <w:p>
      <w:pPr>
        <w:pStyle w:val="null3"/>
        <w:ind w:firstLine="422"/>
        <w:jc w:val="both"/>
      </w:pPr>
      <w:r>
        <w:rPr>
          <w:sz w:val="24"/>
          <w:u w:val="single"/>
        </w:rPr>
        <w:t>4．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22"/>
        <w:jc w:val="both"/>
      </w:pPr>
      <w:r>
        <w:rPr>
          <w:sz w:val="24"/>
          <w:u w:val="single"/>
        </w:rPr>
        <w:t>5．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24"/>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22"/>
        <w:jc w:val="both"/>
      </w:pPr>
      <w:r>
        <w:rPr>
          <w:sz w:val="24"/>
        </w:rPr>
        <w:t>1．</w:t>
      </w:r>
      <w:r>
        <w:rPr>
          <w:sz w:val="24"/>
          <w:u w:val="single"/>
        </w:rPr>
        <w:t>项目编制过程中的沟通、协调工作；</w:t>
      </w:r>
    </w:p>
    <w:p>
      <w:pPr>
        <w:pStyle w:val="null3"/>
        <w:ind w:firstLine="422"/>
        <w:jc w:val="both"/>
      </w:pPr>
      <w:r>
        <w:rPr>
          <w:sz w:val="24"/>
        </w:rPr>
        <w:t>2．</w:t>
      </w:r>
      <w:r>
        <w:rPr>
          <w:sz w:val="24"/>
          <w:u w:val="single"/>
        </w:rPr>
        <w:t>项目成果的报审、报批工作；</w:t>
      </w:r>
    </w:p>
    <w:p>
      <w:pPr>
        <w:pStyle w:val="null3"/>
        <w:ind w:firstLine="422"/>
        <w:jc w:val="both"/>
      </w:pPr>
      <w:r>
        <w:rPr>
          <w:sz w:val="24"/>
        </w:rPr>
        <w:t>3．</w:t>
      </w:r>
      <w:r>
        <w:rPr>
          <w:sz w:val="24"/>
          <w:u w:val="single"/>
        </w:rPr>
        <w:t>其他项目相关工作。</w:t>
      </w:r>
    </w:p>
    <w:p>
      <w:pPr>
        <w:pStyle w:val="null3"/>
        <w:ind w:firstLine="422"/>
        <w:jc w:val="both"/>
      </w:pPr>
      <w:r>
        <w:rPr>
          <w:sz w:val="24"/>
        </w:rPr>
        <w:t>一方变更项目联系人的，应当及时以书面形式通知另一方，未及时通知并影响本合同履行或造成损失的，应承担相应的责任。</w:t>
      </w:r>
    </w:p>
    <w:p>
      <w:pPr>
        <w:pStyle w:val="null3"/>
        <w:ind w:firstLine="424"/>
        <w:jc w:val="both"/>
      </w:pPr>
      <w:r>
        <w:rPr>
          <w:sz w:val="24"/>
          <w:b/>
        </w:rPr>
        <w:t>第十一条</w:t>
      </w:r>
      <w:r>
        <w:rPr>
          <w:sz w:val="24"/>
        </w:rPr>
        <w:t>：双方确定，出现下列情形，致使本合同的履行成为不必要或不可能的，可以解除本合同：</w:t>
      </w:r>
    </w:p>
    <w:p>
      <w:pPr>
        <w:pStyle w:val="null3"/>
        <w:ind w:firstLine="422"/>
        <w:jc w:val="both"/>
      </w:pPr>
      <w:r>
        <w:rPr>
          <w:sz w:val="24"/>
        </w:rPr>
        <w:t>1．</w:t>
      </w:r>
      <w:r>
        <w:rPr>
          <w:sz w:val="24"/>
          <w:u w:val="single"/>
        </w:rPr>
        <w:t>发生不可抗力；</w:t>
      </w:r>
    </w:p>
    <w:p>
      <w:pPr>
        <w:pStyle w:val="null3"/>
        <w:ind w:firstLine="422"/>
        <w:jc w:val="both"/>
      </w:pPr>
      <w:r>
        <w:rPr>
          <w:sz w:val="24"/>
        </w:rPr>
        <w:t>2．</w:t>
      </w:r>
      <w:r>
        <w:rPr>
          <w:sz w:val="24"/>
          <w:u w:val="single"/>
        </w:rPr>
        <w:t>履行期限满前，一方明确表示或者以自己的行为表明不履行合同的；</w:t>
      </w:r>
    </w:p>
    <w:p>
      <w:pPr>
        <w:pStyle w:val="null3"/>
        <w:ind w:firstLine="422"/>
        <w:jc w:val="both"/>
      </w:pPr>
      <w:r>
        <w:rPr>
          <w:sz w:val="24"/>
        </w:rPr>
        <w:t>3．</w:t>
      </w:r>
      <w:r>
        <w:rPr>
          <w:sz w:val="24"/>
          <w:u w:val="single"/>
        </w:rPr>
        <w:t>一方延迟履行合同，经催告后在合理期限内仍未履行合同的；</w:t>
      </w:r>
    </w:p>
    <w:p>
      <w:pPr>
        <w:pStyle w:val="null3"/>
        <w:ind w:firstLine="422"/>
        <w:jc w:val="both"/>
      </w:pPr>
      <w:r>
        <w:rPr>
          <w:sz w:val="24"/>
        </w:rPr>
        <w:t>4．</w:t>
      </w:r>
      <w:r>
        <w:rPr>
          <w:sz w:val="24"/>
          <w:u w:val="single"/>
        </w:rPr>
        <w:t>一方迟延履行或者有其它违约行为致使不能实现合同目的的。</w:t>
      </w:r>
    </w:p>
    <w:p>
      <w:pPr>
        <w:pStyle w:val="null3"/>
        <w:ind w:firstLine="424"/>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22"/>
        <w:jc w:val="both"/>
      </w:pPr>
      <w:r>
        <w:rPr>
          <w:sz w:val="24"/>
        </w:rPr>
        <w:t>1．提交</w:t>
      </w:r>
      <w:r>
        <w:rPr>
          <w:sz w:val="24"/>
          <w:u w:val="single"/>
        </w:rPr>
        <w:t>中国广州</w:t>
      </w:r>
      <w:r>
        <w:rPr>
          <w:sz w:val="24"/>
        </w:rPr>
        <w:t>仲裁委员会仲裁；</w:t>
      </w:r>
    </w:p>
    <w:p>
      <w:pPr>
        <w:pStyle w:val="null3"/>
        <w:ind w:firstLine="422"/>
        <w:jc w:val="both"/>
      </w:pPr>
      <w:r>
        <w:rPr>
          <w:sz w:val="24"/>
        </w:rPr>
        <w:t>2．依法向甲方所在地人民法院起诉。</w:t>
      </w:r>
    </w:p>
    <w:p>
      <w:pPr>
        <w:pStyle w:val="null3"/>
        <w:ind w:firstLine="424"/>
        <w:jc w:val="both"/>
      </w:pPr>
      <w:r>
        <w:rPr>
          <w:sz w:val="24"/>
          <w:b/>
        </w:rPr>
        <w:t>第十三条</w:t>
      </w:r>
      <w:r>
        <w:rPr>
          <w:sz w:val="24"/>
        </w:rPr>
        <w:t>：双方确定：本合同及相关附件中所涉及的有关名词和技术术语，其定义和解释如下：</w:t>
      </w:r>
    </w:p>
    <w:p>
      <w:pPr>
        <w:pStyle w:val="null3"/>
        <w:ind w:firstLine="422"/>
        <w:jc w:val="both"/>
      </w:pPr>
      <w:r>
        <w:rPr>
          <w:sz w:val="24"/>
        </w:rPr>
        <w:t>1．</w:t>
      </w:r>
      <w:r>
        <w:rPr>
          <w:sz w:val="24"/>
          <w:u w:val="single"/>
        </w:rPr>
        <w:t>无。</w:t>
      </w:r>
    </w:p>
    <w:p>
      <w:pPr>
        <w:pStyle w:val="null3"/>
        <w:ind w:firstLine="424"/>
        <w:jc w:val="both"/>
      </w:pPr>
      <w:r>
        <w:rPr>
          <w:sz w:val="24"/>
          <w:b/>
        </w:rPr>
        <w:t>第十四条</w:t>
      </w:r>
      <w:r>
        <w:rPr>
          <w:sz w:val="24"/>
        </w:rPr>
        <w:t>：双方约定本合同其他相关事项为：</w:t>
      </w:r>
    </w:p>
    <w:p>
      <w:pPr>
        <w:pStyle w:val="null3"/>
        <w:ind w:firstLine="422"/>
        <w:jc w:val="both"/>
      </w:pPr>
      <w:r>
        <w:rPr>
          <w:sz w:val="24"/>
        </w:rPr>
        <w:t>1.</w:t>
      </w:r>
      <w:r>
        <w:rPr>
          <w:sz w:val="24"/>
          <w:u w:val="single"/>
        </w:rPr>
        <w:t>本合同未尽事宜，双方应本着友好合作的原则，另行商议并写入补充条款。所有修改或补充条款都视为本合同的组成部分，具有与其它条款同等的法律效力。</w:t>
      </w:r>
    </w:p>
    <w:p>
      <w:pPr>
        <w:pStyle w:val="null3"/>
        <w:ind w:firstLine="422"/>
        <w:jc w:val="both"/>
      </w:pPr>
      <w:r>
        <w:rPr>
          <w:sz w:val="24"/>
        </w:rPr>
        <w:t>2</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22"/>
        <w:jc w:val="both"/>
      </w:pPr>
      <w:r>
        <w:rPr>
          <w:sz w:val="24"/>
          <w:u w:val="single"/>
        </w:rPr>
        <w:t>3.乙方需配合甲方派驻场服务人员1~2名，驻场服务人员所需办公设备费用由乙方承担。</w:t>
      </w:r>
    </w:p>
    <w:p>
      <w:pPr>
        <w:pStyle w:val="null3"/>
        <w:ind w:firstLine="422"/>
        <w:jc w:val="both"/>
      </w:pPr>
      <w:r>
        <w:rPr>
          <w:sz w:val="24"/>
          <w:u w:val="single"/>
        </w:rPr>
        <w:t>4.乙方不得对整个项目进行转包，不得进行分包。</w:t>
      </w:r>
    </w:p>
    <w:p>
      <w:pPr>
        <w:pStyle w:val="null3"/>
        <w:ind w:firstLine="424"/>
        <w:jc w:val="both"/>
      </w:pPr>
      <w:r>
        <w:rPr>
          <w:sz w:val="24"/>
          <w:b/>
        </w:rPr>
        <w:t>第十五条</w:t>
      </w:r>
      <w:r>
        <w:rPr>
          <w:sz w:val="24"/>
        </w:rPr>
        <w:t>：本合同一式</w:t>
      </w:r>
      <w:r>
        <w:rPr>
          <w:sz w:val="24"/>
          <w:u w:val="single"/>
        </w:rPr>
        <w:t xml:space="preserve">柒 </w:t>
      </w:r>
      <w:r>
        <w:rPr>
          <w:sz w:val="24"/>
        </w:rPr>
        <w:t>份，甲乙双方各执</w:t>
      </w:r>
      <w:r>
        <w:rPr>
          <w:sz w:val="24"/>
          <w:u w:val="single"/>
        </w:rPr>
        <w:t xml:space="preserve">叁 </w:t>
      </w:r>
      <w:r>
        <w:rPr>
          <w:sz w:val="24"/>
        </w:rPr>
        <w:t>份，采购代理机构壹份，具有同等法律效力。</w:t>
      </w:r>
    </w:p>
    <w:p>
      <w:pPr>
        <w:pStyle w:val="null3"/>
        <w:ind w:firstLine="424"/>
        <w:jc w:val="both"/>
      </w:pPr>
      <w:r>
        <w:rPr>
          <w:sz w:val="24"/>
          <w:b/>
        </w:rPr>
        <w:t>第十六条</w:t>
      </w:r>
      <w:r>
        <w:rPr>
          <w:sz w:val="24"/>
        </w:rPr>
        <w:t>：本合同经双方签字盖章后生效。</w:t>
      </w:r>
    </w:p>
    <w:p>
      <w:pPr>
        <w:pStyle w:val="null3"/>
        <w:ind w:firstLine="424"/>
        <w:jc w:val="both"/>
      </w:pPr>
      <w:r>
        <w:rPr/>
        <w:t xml:space="preserve"> </w:t>
      </w:r>
    </w:p>
    <w:p>
      <w:pPr>
        <w:pStyle w:val="null3"/>
        <w:jc w:val="both"/>
      </w:pPr>
      <w:r>
        <w:rPr>
          <w:sz w:val="24"/>
        </w:rPr>
        <w:t>甲方：</w:t>
      </w:r>
      <w:r>
        <w:rPr>
          <w:sz w:val="24"/>
          <w:u w:val="single"/>
        </w:rPr>
        <w:t>广州市规划和自然资源局（盖章）</w:t>
      </w:r>
    </w:p>
    <w:p>
      <w:pPr>
        <w:pStyle w:val="null3"/>
        <w:jc w:val="both"/>
      </w:pPr>
      <w:r>
        <w:rPr>
          <w:sz w:val="24"/>
        </w:rPr>
        <w:t>法定代表人／委托代理人：</w:t>
      </w:r>
      <w:r>
        <w:rPr>
          <w:sz w:val="24"/>
          <w:u w:val="single"/>
        </w:rPr>
        <w:t>　　　　　　　　（签名）</w:t>
      </w:r>
      <w:r>
        <w:rPr>
          <w:sz w:val="24"/>
        </w:rPr>
        <w:t>　</w:t>
      </w:r>
    </w:p>
    <w:p>
      <w:pPr>
        <w:pStyle w:val="null3"/>
        <w:jc w:val="both"/>
      </w:pPr>
      <w:r>
        <w:rPr>
          <w:sz w:val="24"/>
        </w:rPr>
        <w:t xml:space="preserve">    年    月    日</w:t>
      </w:r>
    </w:p>
    <w:p>
      <w:pPr>
        <w:pStyle w:val="null3"/>
        <w:jc w:val="both"/>
      </w:pPr>
      <w:r>
        <w:rPr>
          <w:sz w:val="24"/>
        </w:rPr>
        <w:t>乙方：</w:t>
      </w:r>
      <w:r>
        <w:rPr>
          <w:sz w:val="24"/>
          <w:u w:val="single"/>
        </w:rPr>
        <w:t>（盖章）</w:t>
      </w:r>
    </w:p>
    <w:p>
      <w:pPr>
        <w:pStyle w:val="null3"/>
        <w:jc w:val="both"/>
      </w:pPr>
      <w:r>
        <w:rPr>
          <w:sz w:val="24"/>
        </w:rPr>
        <w:t>法定代表人／委托代理人：</w:t>
      </w:r>
      <w:r>
        <w:rPr>
          <w:sz w:val="24"/>
          <w:u w:val="single"/>
        </w:rPr>
        <w:t>　　　　　　　　（签名）</w:t>
      </w:r>
    </w:p>
    <w:p>
      <w:pPr>
        <w:pStyle w:val="null3"/>
        <w:jc w:val="both"/>
      </w:pPr>
      <w:r>
        <w:rPr>
          <w:sz w:val="24"/>
        </w:rPr>
        <w:t xml:space="preserve">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印花税票粘贴处：</w:t>
      </w:r>
    </w:p>
    <w:p>
      <w:pPr>
        <w:pStyle w:val="null3"/>
        <w:jc w:val="both"/>
      </w:pPr>
      <w:r>
        <w:rPr>
          <w:sz w:val="24"/>
        </w:rPr>
        <w:t>（以下由技术合同登记机构填写）</w:t>
      </w:r>
    </w:p>
    <w:p>
      <w:pPr>
        <w:pStyle w:val="null3"/>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09"/>
        <w:gridCol w:w="421"/>
        <w:gridCol w:w="421"/>
        <w:gridCol w:w="409"/>
        <w:gridCol w:w="409"/>
        <w:gridCol w:w="409"/>
        <w:gridCol w:w="397"/>
        <w:gridCol w:w="445"/>
        <w:gridCol w:w="445"/>
        <w:gridCol w:w="409"/>
        <w:gridCol w:w="409"/>
        <w:gridCol w:w="409"/>
        <w:gridCol w:w="397"/>
        <w:gridCol w:w="421"/>
        <w:gridCol w:w="421"/>
        <w:gridCol w:w="42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1．申请登记人：</w:t>
      </w:r>
    </w:p>
    <w:p>
      <w:pPr>
        <w:pStyle w:val="null3"/>
        <w:ind w:firstLine="425"/>
        <w:jc w:val="both"/>
      </w:pPr>
      <w:r>
        <w:rPr>
          <w:sz w:val="24"/>
        </w:rPr>
        <w:t>2．登记材料：（1）</w:t>
      </w:r>
    </w:p>
    <w:p>
      <w:pPr>
        <w:pStyle w:val="null3"/>
        <w:ind w:firstLine="425"/>
        <w:jc w:val="both"/>
      </w:pPr>
      <w:r>
        <w:rPr>
          <w:sz w:val="24"/>
        </w:rPr>
        <w:t>（2）</w:t>
      </w:r>
    </w:p>
    <w:p>
      <w:pPr>
        <w:pStyle w:val="null3"/>
        <w:ind w:firstLine="425"/>
        <w:jc w:val="both"/>
      </w:pPr>
      <w:r>
        <w:rPr>
          <w:sz w:val="24"/>
        </w:rPr>
        <w:t>（3）</w:t>
      </w:r>
    </w:p>
    <w:p>
      <w:pPr>
        <w:pStyle w:val="null3"/>
        <w:ind w:firstLine="425"/>
        <w:jc w:val="both"/>
      </w:pPr>
      <w:r>
        <w:rPr>
          <w:sz w:val="24"/>
        </w:rPr>
        <w:t>3．合同类型：</w:t>
      </w:r>
    </w:p>
    <w:p>
      <w:pPr>
        <w:pStyle w:val="null3"/>
        <w:ind w:firstLine="425"/>
        <w:jc w:val="both"/>
      </w:pPr>
      <w:r>
        <w:rPr>
          <w:sz w:val="24"/>
        </w:rPr>
        <w:t>4．合同交易额：</w:t>
      </w:r>
    </w:p>
    <w:p>
      <w:pPr>
        <w:pStyle w:val="null3"/>
        <w:ind w:firstLine="425"/>
        <w:jc w:val="both"/>
      </w:pPr>
      <w:r>
        <w:rPr>
          <w:sz w:val="24"/>
        </w:rPr>
        <w:t>5．技术交易额：</w:t>
      </w:r>
    </w:p>
    <w:p>
      <w:pPr>
        <w:pStyle w:val="null3"/>
        <w:jc w:val="both"/>
      </w:pPr>
      <w:r>
        <w:rPr>
          <w:sz w:val="24"/>
        </w:rPr>
        <w:t xml:space="preserve">技术合同登记机构（印章）        </w:t>
      </w:r>
    </w:p>
    <w:p>
      <w:pPr>
        <w:pStyle w:val="null3"/>
        <w:jc w:val="right"/>
      </w:pPr>
      <w:r>
        <w:rPr>
          <w:sz w:val="24"/>
        </w:rPr>
        <w:t xml:space="preserve">经办人：           </w:t>
      </w:r>
    </w:p>
    <w:p>
      <w:pPr>
        <w:pStyle w:val="null3"/>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440101-2025-01943</w:t>
      </w:r>
    </w:p>
    <w:p>
      <w:pPr>
        <w:pStyle w:val="null3"/>
        <w:jc w:val="center"/>
        <w:outlineLvl w:val="3"/>
      </w:pPr>
      <w:r>
        <w:rPr>
          <w:sz w:val="24"/>
          <w:b/>
        </w:rPr>
        <w:t>采购项目编号：</w:t>
      </w:r>
      <w:r>
        <w:rPr>
          <w:sz w:val="24"/>
          <w:b/>
        </w:rPr>
        <w:t>GZCQC2500FG01005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城维计划-综合交通规划编制经费（子项8：2025年广州市交通发展年度报告及交通评价与决策分析）</w:t>
      </w:r>
      <w:r>
        <w:rPr>
          <w:u w:val="single"/>
        </w:rPr>
        <w:t>”</w:t>
      </w:r>
      <w:r>
        <w:rPr/>
        <w:t>项目的招标[采购项目编号为：</w:t>
      </w:r>
      <w:r>
        <w:rPr>
          <w:u w:val="single"/>
        </w:rPr>
        <w:t>GZCQC2500FG01005</w:t>
      </w:r>
      <w:r>
        <w:rPr/>
        <w:t>]，我方愿参与投标。</w:t>
      </w:r>
    </w:p>
    <w:p>
      <w:pPr>
        <w:pStyle w:val="null3"/>
        <w:ind w:firstLine="480"/>
      </w:pPr>
      <w:r>
        <w:rPr/>
        <w:t>我方确认收到贵方提供的</w:t>
      </w:r>
      <w:r>
        <w:rPr>
          <w:u w:val="single"/>
        </w:rPr>
        <w:t>“</w:t>
      </w:r>
      <w:r>
        <w:rPr>
          <w:u w:val="single"/>
        </w:rPr>
        <w:t>城维计划-综合交通规划编制经费（子项8：2025年广州市交通发展年度报告及交通评价与决策分析）</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城维计划-综合交通规划编制经费（子项8：2025年广州市交通发展年度报告及交通评价与决策分析）</w:t>
      </w:r>
      <w:r>
        <w:rPr/>
        <w:t>”项目采购[采购项目编号为</w:t>
      </w:r>
      <w:r>
        <w:rPr/>
        <w:t>GZCQC2500FG01005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城维计划-综合交通规划编制经费（子项8：2025年广州市交通发展年度报告及交通评价与决策分析）</w:t>
      </w:r>
      <w:r>
        <w:rPr/>
        <w:t>招标中获中标（采购项目编号：</w:t>
      </w:r>
      <w:r>
        <w:rPr/>
        <w:t>GZCQC2500FG01005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