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440001-2024-53430</w:t>
      </w:r>
    </w:p>
    <w:p>
      <w:pPr>
        <w:pStyle w:val="null3"/>
        <w:jc w:val="center"/>
        <w:outlineLvl w:val="3"/>
      </w:pPr>
      <w:r>
        <w:rPr>
          <w:sz w:val="24"/>
          <w:b/>
        </w:rPr>
        <w:t>采购项目编号：</w:t>
      </w:r>
      <w:r>
        <w:rPr>
          <w:sz w:val="24"/>
          <w:b/>
        </w:rPr>
        <w:t>GZCQC2400FG09008</w:t>
      </w:r>
    </w:p>
    <w:p>
      <w:pPr>
        <w:pStyle w:val="null3"/>
        <w:jc w:val="center"/>
        <w:outlineLvl w:val="3"/>
      </w:pPr>
      <w:r>
        <w:rPr>
          <w:sz w:val="24"/>
          <w:b/>
        </w:rPr>
        <w:t>项目名称：</w:t>
      </w:r>
      <w:r>
        <w:rPr>
          <w:sz w:val="24"/>
          <w:b/>
        </w:rPr>
        <w:t>广东福彩广州公交候车亭灯箱广告项目</w:t>
      </w:r>
    </w:p>
    <w:p>
      <w:pPr>
        <w:pStyle w:val="null3"/>
        <w:jc w:val="center"/>
        <w:outlineLvl w:val="3"/>
      </w:pPr>
      <w:r>
        <w:rPr>
          <w:sz w:val="24"/>
          <w:b/>
        </w:rPr>
        <w:t>采购人：</w:t>
      </w:r>
      <w:r>
        <w:rPr>
          <w:sz w:val="24"/>
          <w:b/>
        </w:rPr>
        <w:t>广东省福利彩票发行中心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广东省福利彩票发行中心</w:t>
      </w:r>
      <w:r>
        <w:rPr/>
        <w:t>的委托，采用</w:t>
      </w:r>
      <w:r>
        <w:rPr/>
        <w:t>公开招标</w:t>
      </w:r>
      <w:r>
        <w:rPr/>
        <w:t>方式组织采购</w:t>
      </w:r>
      <w:r>
        <w:rPr/>
        <w:t>广东福彩广州公交候车亭灯箱广告项目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广东福彩广州公交候车亭灯箱广告项目</w:t>
      </w:r>
    </w:p>
    <w:p>
      <w:pPr>
        <w:pStyle w:val="null3"/>
        <w:ind w:firstLine="480"/>
      </w:pPr>
      <w:r>
        <w:rPr/>
        <w:t>采购计划编号：</w:t>
      </w:r>
      <w:r>
        <w:rPr/>
        <w:t>440001-2024-53430</w:t>
      </w:r>
    </w:p>
    <w:p>
      <w:pPr>
        <w:pStyle w:val="null3"/>
        <w:ind w:firstLine="480"/>
      </w:pPr>
      <w:r>
        <w:rPr/>
        <w:t>采购项目编号：</w:t>
      </w:r>
      <w:r>
        <w:rPr/>
        <w:t>GZCQC2400FG09008</w:t>
      </w:r>
    </w:p>
    <w:p>
      <w:pPr>
        <w:pStyle w:val="null3"/>
        <w:ind w:firstLine="480"/>
      </w:pPr>
      <w:r>
        <w:rPr/>
        <w:t>采购方式：</w:t>
      </w:r>
      <w:r>
        <w:rPr/>
        <w:t>公开招标</w:t>
      </w:r>
    </w:p>
    <w:p>
      <w:pPr>
        <w:pStyle w:val="null3"/>
        <w:ind w:firstLine="480"/>
      </w:pPr>
      <w:r>
        <w:rPr/>
        <w:t>预算金额：</w:t>
      </w:r>
      <w:r>
        <w:rPr/>
        <w:t>3,200,000.00</w:t>
      </w:r>
      <w:r>
        <w:rPr/>
        <w:t>元</w:t>
      </w:r>
    </w:p>
    <w:p>
      <w:pPr>
        <w:pStyle w:val="null3"/>
        <w:outlineLvl w:val="3"/>
      </w:pPr>
      <w:r>
        <w:rPr>
          <w:sz w:val="24"/>
          <w:b/>
        </w:rPr>
        <w:t>2.项目内容及需求情况（采购项目技术规格、参数及要求）</w:t>
      </w:r>
    </w:p>
    <w:p>
      <w:pPr>
        <w:pStyle w:val="null3"/>
      </w:pPr>
      <w:r>
        <w:rPr/>
        <w:t>采购包1(广东福彩广州公交候车亭灯箱广告项目):</w:t>
      </w:r>
    </w:p>
    <w:p>
      <w:pPr>
        <w:pStyle w:val="null3"/>
      </w:pPr>
      <w:r>
        <w:rPr/>
        <w:t>采购包预算金额：3,200,000.00元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广东福彩广州公交候车亭灯箱广告项目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合同履行期限：2年，2025年1月1日至2026年12月31日，或广告投放周期全部发布结束则视为服务期结束（以时间在先者为准，因中标人违约导致合同提前解除的除外）。</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2023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采购包1（广东福彩广州公交候车亭灯箱广告项目）：</w:t>
      </w:r>
      <w:r>
        <w:rPr/>
        <w:t>本采购包整体专门面向中小企业采购。投标人须符合本项目采购标的对应行业（本项目行业为：租赁和商务服务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采购包1（广东福彩广州公交候车亭灯箱广告项目）：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广东省福利彩票发行中心</w:t>
      </w:r>
    </w:p>
    <w:p>
      <w:pPr>
        <w:pStyle w:val="null3"/>
        <w:ind w:firstLine="480"/>
      </w:pPr>
      <w:r>
        <w:rPr/>
        <w:t xml:space="preserve"> 地址：</w:t>
      </w:r>
      <w:r>
        <w:rPr/>
        <w:t>广州市越秀区东风中路300号之一西侧</w:t>
      </w:r>
    </w:p>
    <w:p>
      <w:pPr>
        <w:pStyle w:val="null3"/>
        <w:ind w:firstLine="480"/>
      </w:pPr>
      <w:r>
        <w:rPr/>
        <w:t xml:space="preserve"> 联系方式：</w:t>
      </w:r>
      <w:r>
        <w:rPr/>
        <w:t>020-83637512</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1.项目名称：广东福彩广州公交候车亭灯箱广告项目。</w:t>
      </w:r>
    </w:p>
    <w:p>
      <w:pPr>
        <w:pStyle w:val="null3"/>
        <w:ind w:firstLine="420"/>
        <w:jc w:val="left"/>
      </w:pPr>
      <w:r>
        <w:rPr>
          <w:sz w:val="24"/>
        </w:rPr>
        <w:t>2.项目简介：为展示广东民政“民政为民、民政爱民”的工作理念，以及广东福彩“公益福彩、责任福彩”形象，进一步增强民政工作和福彩品牌的社会传播力与影响力，在广州市内投放100块公交车候车亭灯箱广告，用于发布民政、福彩相关的主题营销、公益宣传平面广告。</w:t>
      </w:r>
    </w:p>
    <w:p>
      <w:pPr>
        <w:pStyle w:val="null3"/>
        <w:ind w:firstLine="420"/>
        <w:jc w:val="left"/>
      </w:pPr>
      <w:r>
        <w:rPr>
          <w:sz w:val="24"/>
        </w:rPr>
        <w:t>3.本采购项目服务期限为2年，2025年1月1日至2026年12月31日，或广告投放周期全部发布结束则视为服务期结束（以时间在先者为准，因中标人违约导致合同提前解除的除外）。</w:t>
      </w:r>
    </w:p>
    <w:p>
      <w:pPr>
        <w:pStyle w:val="null3"/>
        <w:ind w:firstLine="420"/>
        <w:jc w:val="left"/>
      </w:pPr>
      <w:r>
        <w:rPr>
          <w:sz w:val="24"/>
        </w:rPr>
        <w:t>4.预算金额（最高限价）为3,200,000.00元。</w:t>
      </w:r>
    </w:p>
    <w:p>
      <w:pPr>
        <w:pStyle w:val="null3"/>
        <w:ind w:firstLine="420"/>
        <w:jc w:val="left"/>
      </w:pPr>
      <w:r>
        <w:rPr>
          <w:sz w:val="24"/>
        </w:rPr>
        <w:t>5</w:t>
      </w:r>
      <w:r>
        <w:rPr>
          <w:sz w:val="24"/>
        </w:rPr>
        <w:t>.</w:t>
      </w:r>
      <w:r>
        <w:rPr>
          <w:sz w:val="24"/>
        </w:rPr>
        <w:t>本项目为交钥匙承包项目，中标人承包及负责招标文件对中标人要求的一切事宜及责任。</w:t>
      </w:r>
    </w:p>
    <w:p>
      <w:pPr>
        <w:pStyle w:val="null3"/>
        <w:ind w:firstLine="420"/>
        <w:jc w:val="left"/>
      </w:pPr>
      <w:r>
        <w:rPr>
          <w:sz w:val="24"/>
        </w:rPr>
        <w:t>6</w:t>
      </w:r>
      <w:r>
        <w:rPr>
          <w:sz w:val="24"/>
        </w:rPr>
        <w:t>.</w:t>
      </w:r>
      <w:r>
        <w:rPr>
          <w:sz w:val="24"/>
        </w:rPr>
        <w:t>中标人不得以任何方式转包、分包本项目。</w:t>
      </w:r>
    </w:p>
    <w:p>
      <w:pPr>
        <w:pStyle w:val="null3"/>
        <w:ind w:firstLine="420"/>
        <w:jc w:val="left"/>
      </w:pPr>
      <w:r>
        <w:rPr>
          <w:sz w:val="24"/>
        </w:rPr>
        <w:t>7.本项目不接受联合体参与投标。</w:t>
      </w:r>
    </w:p>
    <w:p>
      <w:pPr>
        <w:pStyle w:val="null3"/>
        <w:ind w:firstLine="420"/>
        <w:jc w:val="left"/>
      </w:pPr>
      <w:r>
        <w:rPr>
          <w:sz w:val="24"/>
        </w:rPr>
        <w:t>8.本项目采购标的对应的中小企业划分标准所属行业为：租赁和商务服务业。</w:t>
      </w:r>
    </w:p>
    <w:p>
      <w:pPr>
        <w:pStyle w:val="null3"/>
        <w:ind w:firstLine="420"/>
        <w:jc w:val="left"/>
      </w:pPr>
      <w:r>
        <w:rPr>
          <w:sz w:val="24"/>
        </w:rPr>
        <w:t>9.本采购包整体专门面向中小企业采购。投标人须符合本项目采购标的对应行业（本项目行业为：租赁和商务服务业）的政策划分标准的中小微企业。监狱企业、残疾人福利性单位视同小型、微型企业。</w:t>
      </w:r>
    </w:p>
    <w:p>
      <w:pPr>
        <w:pStyle w:val="null3"/>
      </w:pPr>
      <w:r>
        <w:rPr/>
        <w:t>采购包1（广东福彩广州公交候车亭灯箱广告项目）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2年，2025年1月1日至2026年12月31日，或广告投放周期全部发布结束则视为服务期结束（以时间在先者为准，因中标人违约导致合同提前解除的除外）。</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1期：支付比例100%,采购人按以下付款方式实施支付： （1）支付比例30%,在合同签订之日起5个工作日内，采购人向中标人支付合同总金额的30%； （2）支付比例20%,在完成投放第二期广告并经采购人确认验收报告合格后10个工作日内，采购人向中标人支付合同总金额的20%； （3）支付比例30%,在完成投放第三期广告并经采购人确认验收报告合格后10个工作日内，采购人向中标人支付合同总金额的30%； （4）支付比例20%,在完成投放第四期广告并经采购人确认验收报告合格后10个工作日内，采购人向中标人支付合同总金额的20%。 注：采购人通过银行转账的方式支付合同费用，中标人在收款前需向采购人出具等额、合法、有效且符合采购人财务要求的正式发票和验收报告予以采购人验收。中标人怠于提供发票和验收报告的，采购人有权顺延付款期限直至收到中标人的发票及合格的验收报告，中标人不得据此怠于履行任何一项或几项合同义务。</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1期：（1）中标人应在每期广告上刊3个工作日内，提供每块灯箱广告的现场照片1～2张作为广告上刊依据。 （2）中标人应在每次投放广告内容主题结束后10个自然日内提交该次广告发布总结报告，其内容包括但不限于广告投放数量完成率、信息发布按时完成率、广告投放评估等。同时在服务期内首次上画时须单独制作一条广告投放效果视频（不少于30s）供采购人宣传使用。 （3）在完成项目所有广告投放后的15个工作日内，向采购人出具一份项目总结报告。 （4）采购人验收合格后，双方签订验收报告，作为本项目付款条件。未通过验收的，视为中标人违约，采购人有权要求中标人按照合同第八条约定的标准支付违约金，中标人还应当按照采购人要求实施整改后再次申请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★报价要求，1、本项目总价报价，凡超过最高限价3,200,000.00元的投标报价均视为无效投标。 2、投标人的的投标报价应包含但不限于人员薪酬（包括工资、奖金、福利、社保、保险、服装、劳保用品等）、广告位使用费、广告发布费及广告审批费、材料费、设计费、制作费、运输费、安装费、监测费、税金、发布费、水电费、广告维护费及税费等投标人为履行本合同所有不可预见费用，采购人不再支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广东福彩广州公交候车亭灯箱广告项目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3,200,000.00</w:t>
            </w:r>
          </w:p>
        </w:tc>
        <w:tc>
          <w:tcPr>
            <w:tcW w:type="dxa" w:w="933"/>
          </w:tcPr>
          <w:p>
            <w:pPr>
              <w:pStyle w:val="null3"/>
              <w:jc w:val="right"/>
            </w:pPr>
            <w:r>
              <w:rPr/>
              <w:t>3,200,000.00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广东福彩广州公交候车亭灯箱广告项目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1、在广州市各区繁华路段内的100块候车亭灯箱广告投放宣传广告：</w:t>
            </w:r>
          </w:p>
          <w:p>
            <w:pPr>
              <w:pStyle w:val="null3"/>
              <w:ind w:firstLine="480"/>
              <w:jc w:val="both"/>
            </w:pPr>
            <w:r>
              <w:rPr>
                <w:sz w:val="24"/>
              </w:rPr>
              <w:t>（1）越秀区投放量不低于总投放量的60%，须覆盖东风路、吉祥路、中山路、环市路、解放路路段，且包含不少于2个主要商圈或社区（如：北京路商圈、环市路商圈等商圈或大型社区），其中东风路段和吉祥路段不低于总投放量的30%；</w:t>
            </w:r>
          </w:p>
          <w:p>
            <w:pPr>
              <w:pStyle w:val="null3"/>
              <w:ind w:firstLine="480"/>
            </w:pPr>
            <w:r>
              <w:rPr>
                <w:sz w:val="24"/>
              </w:rPr>
              <w:t>（2）其他区：在广告投放周期内，每个周期、每个批次均必须在全部区域都有投放公交车候车亭灯箱广告。其中：</w:t>
            </w:r>
          </w:p>
          <w:p>
            <w:pPr>
              <w:pStyle w:val="null3"/>
              <w:ind w:firstLine="480"/>
              <w:jc w:val="both"/>
            </w:pPr>
            <w:r>
              <w:rPr>
                <w:sz w:val="24"/>
              </w:rPr>
              <w:t>①天河区：须覆盖黄埔大道、中山大道、广州大道、临江大道、花城大道（马场路、车陂路、体育中心）路段，且包含不少于3个主要商圈或社区（如：珠江新城CBD、体育中心商圈、天河北商圈等商圈或大型社区）；</w:t>
            </w:r>
          </w:p>
          <w:p>
            <w:pPr>
              <w:pStyle w:val="null3"/>
              <w:ind w:firstLine="480"/>
              <w:jc w:val="both"/>
            </w:pPr>
            <w:r>
              <w:rPr>
                <w:sz w:val="24"/>
              </w:rPr>
              <w:t>②海珠区：须覆盖滨江路、宝岗大道、新港路、工业大道、广州大道南、阅江路路段，且包含不少于2个主要商圈或社区（如：海珠商圈、琶洲新硅谷等商圈或大型社区）；</w:t>
            </w:r>
          </w:p>
          <w:p>
            <w:pPr>
              <w:pStyle w:val="null3"/>
              <w:ind w:firstLine="480"/>
              <w:jc w:val="both"/>
            </w:pPr>
            <w:r>
              <w:rPr>
                <w:sz w:val="24"/>
              </w:rPr>
              <w:t>③荔湾区：须覆盖人民路、中山路、黄沙、芳村大道、花地大道路段，且包含不少于2个主要商圈或社区（如：上下九商圈、芳村商圈等商圈或大型社区）；</w:t>
            </w:r>
          </w:p>
          <w:p>
            <w:pPr>
              <w:pStyle w:val="null3"/>
              <w:ind w:firstLine="480"/>
              <w:jc w:val="both"/>
            </w:pPr>
            <w:r>
              <w:rPr>
                <w:sz w:val="24"/>
              </w:rPr>
              <w:t>④白云区：须覆盖广园路、黄石路、三元里大道（云城西路）、金沙洲路段，且包含不少于2个主要商圈或社区（如：白云商圈、万达广场、金沙洲大型社区商圈等商圈或大型社区）；</w:t>
            </w:r>
          </w:p>
          <w:p>
            <w:pPr>
              <w:pStyle w:val="null3"/>
              <w:ind w:firstLine="480"/>
              <w:jc w:val="both"/>
            </w:pPr>
            <w:r>
              <w:rPr>
                <w:sz w:val="24"/>
              </w:rPr>
              <w:t>⑤番禺区：须覆盖大学城、广州南站石山大道路段，且包含不少于2个主要商圈或社区（如：大学城教育及生活大型社区、广州南站经济及生活商圈等商圈或大型社区）；</w:t>
            </w:r>
          </w:p>
          <w:p>
            <w:pPr>
              <w:pStyle w:val="null3"/>
              <w:ind w:firstLine="480"/>
              <w:jc w:val="both"/>
            </w:pPr>
            <w:r>
              <w:rPr>
                <w:sz w:val="24"/>
              </w:rPr>
              <w:t>⑥黄埔区：须覆盖大沙地、丰乐路、文冲市场、鱼珠码头，覆盖不少于4个主要商圈或社区（如：大沙地商圈、丰乐生活广场商圈等商圈或大型社区）。</w:t>
            </w:r>
          </w:p>
          <w:p>
            <w:pPr>
              <w:pStyle w:val="null3"/>
              <w:ind w:firstLine="480"/>
              <w:jc w:val="both"/>
            </w:pPr>
            <w:r>
              <w:rPr>
                <w:sz w:val="24"/>
              </w:rPr>
              <w:t>（3）每个候车亭站点灯箱广告投放不超过2块(含2块)，正反两面，每面尺寸不低于3.5M*1.5M。</w:t>
            </w:r>
          </w:p>
          <w:tbl>
            <w:tblPr>
              <w:tblBorders>
                <w:top w:val="none" w:color="000000" w:sz="4"/>
                <w:left w:val="none" w:color="000000" w:sz="4"/>
                <w:bottom w:val="none" w:color="000000" w:sz="4"/>
                <w:right w:val="none" w:color="000000" w:sz="4"/>
                <w:insideH w:val="none"/>
                <w:insideV w:val="none"/>
              </w:tblBorders>
            </w:tblPr>
            <w:tblGrid>
              <w:gridCol w:w="466"/>
              <w:gridCol w:w="466"/>
              <w:gridCol w:w="641"/>
              <w:gridCol w:w="758"/>
              <w:gridCol w:w="758"/>
              <w:gridCol w:w="700"/>
              <w:gridCol w:w="1808"/>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城市</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投放</w:t>
                  </w:r>
                  <w:r>
                    <w:rPr>
                      <w:sz w:val="24"/>
                    </w:rPr>
                    <w:t>数量</w:t>
                  </w:r>
                  <w:r>
                    <w:rPr>
                      <w:sz w:val="24"/>
                    </w:rPr>
                    <w:t>(块)</w:t>
                  </w:r>
                </w:p>
              </w:tc>
              <w:tc>
                <w:tcPr>
                  <w:tcW w:type="dxa" w:w="1516"/>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区域</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占比</w:t>
                  </w:r>
                </w:p>
              </w:tc>
              <w:tc>
                <w:tcPr>
                  <w:tcW w:type="dxa" w:w="18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主要路段</w:t>
                  </w:r>
                </w:p>
              </w:tc>
            </w:tr>
            <w:tr>
              <w:tc>
                <w:tcPr>
                  <w:tcW w:type="dxa" w:w="4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w:t>
                  </w: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151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越秀区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东风路、吉祥路、中山路、环市路、解放路</w:t>
                  </w:r>
                </w:p>
              </w:tc>
            </w:tr>
            <w:tr>
              <w:tc>
                <w:tcPr>
                  <w:tcW w:type="dxa" w:w="466"/>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7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其他区</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天河区</w:t>
                  </w:r>
                </w:p>
              </w:tc>
              <w:tc>
                <w:tcPr>
                  <w:tcW w:type="dxa" w:w="7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黄埔大道、中山大道、广州大道、临江大道、花城大道（马场路、车陂路、体育中心）</w:t>
                  </w:r>
                </w:p>
              </w:tc>
            </w:tr>
            <w:tr>
              <w:tc>
                <w:tcPr>
                  <w:tcW w:type="dxa" w:w="466"/>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海珠区</w:t>
                  </w:r>
                </w:p>
              </w:tc>
              <w:tc>
                <w:tcPr>
                  <w:tcW w:type="dxa" w:w="700"/>
                  <w:vMerge/>
                  <w:tcBorders>
                    <w:top w:val="none" w:color="000000" w:sz="4"/>
                    <w:left w:val="none" w:color="000000" w:sz="4"/>
                    <w:bottom w:val="single" w:color="000000" w:sz="4"/>
                    <w:right w:val="single" w:color="000000" w:sz="4"/>
                  </w:tcBorders>
                </w:tcP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滨江路、宝岗大道、新港路、工业大道、广州大道南、阅江路</w:t>
                  </w:r>
                </w:p>
              </w:tc>
            </w:tr>
            <w:tr>
              <w:tc>
                <w:tcPr>
                  <w:tcW w:type="dxa" w:w="466"/>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荔湾区</w:t>
                  </w:r>
                </w:p>
              </w:tc>
              <w:tc>
                <w:tcPr>
                  <w:tcW w:type="dxa" w:w="700"/>
                  <w:vMerge/>
                  <w:tcBorders>
                    <w:top w:val="none" w:color="000000" w:sz="4"/>
                    <w:left w:val="none" w:color="000000" w:sz="4"/>
                    <w:bottom w:val="single" w:color="000000" w:sz="4"/>
                    <w:right w:val="single" w:color="000000" w:sz="4"/>
                  </w:tcBorders>
                </w:tcP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人民路、中山路、黄沙、芳村大道、花地大道</w:t>
                  </w:r>
                </w:p>
              </w:tc>
            </w:tr>
            <w:tr>
              <w:tc>
                <w:tcPr>
                  <w:tcW w:type="dxa" w:w="466"/>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白云区</w:t>
                  </w:r>
                </w:p>
              </w:tc>
              <w:tc>
                <w:tcPr>
                  <w:tcW w:type="dxa" w:w="700"/>
                  <w:vMerge/>
                  <w:tcBorders>
                    <w:top w:val="none" w:color="000000" w:sz="4"/>
                    <w:left w:val="none" w:color="000000" w:sz="4"/>
                    <w:bottom w:val="single" w:color="000000" w:sz="4"/>
                    <w:right w:val="single" w:color="000000" w:sz="4"/>
                  </w:tcBorders>
                </w:tcP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广园路、黄石路、三元里大道（云城西路）、金沙洲</w:t>
                  </w:r>
                </w:p>
              </w:tc>
            </w:tr>
            <w:tr>
              <w:tc>
                <w:tcPr>
                  <w:tcW w:type="dxa" w:w="466"/>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w:t>
                  </w:r>
                </w:p>
              </w:tc>
              <w:tc>
                <w:tcPr>
                  <w:tcW w:type="dxa" w:w="700"/>
                  <w:vMerge/>
                  <w:tcBorders>
                    <w:top w:val="none" w:color="000000" w:sz="4"/>
                    <w:left w:val="none" w:color="000000" w:sz="4"/>
                    <w:bottom w:val="single" w:color="000000" w:sz="4"/>
                    <w:right w:val="single" w:color="000000" w:sz="4"/>
                  </w:tcBorders>
                </w:tcP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大学城、广州南站石山大道</w:t>
                  </w:r>
                </w:p>
              </w:tc>
            </w:tr>
            <w:tr>
              <w:tc>
                <w:tcPr>
                  <w:tcW w:type="dxa" w:w="466"/>
                  <w:vMerge/>
                  <w:tcBorders>
                    <w:top w:val="none" w:color="000000" w:sz="4"/>
                    <w:left w:val="single" w:color="000000" w:sz="4"/>
                    <w:bottom w:val="single" w:color="000000" w:sz="4"/>
                    <w:right w:val="single" w:color="000000" w:sz="4"/>
                  </w:tcBorders>
                </w:tcPr>
                <w:p/>
              </w:tc>
              <w:tc>
                <w:tcPr>
                  <w:tcW w:type="dxa" w:w="466"/>
                  <w:vMerge/>
                  <w:tcBorders>
                    <w:top w:val="none" w:color="000000" w:sz="4"/>
                    <w:left w:val="none" w:color="000000" w:sz="4"/>
                    <w:bottom w:val="single" w:color="000000" w:sz="4"/>
                    <w:right w:val="single" w:color="000000" w:sz="4"/>
                  </w:tcBorders>
                </w:tcPr>
                <w:p/>
              </w:tc>
              <w:tc>
                <w:tcPr>
                  <w:tcW w:type="dxa" w:w="641"/>
                  <w:vMerge/>
                  <w:tcBorders>
                    <w:top w:val="none" w:color="000000" w:sz="4"/>
                    <w:left w:val="none" w:color="000000" w:sz="4"/>
                    <w:bottom w:val="single" w:color="000000" w:sz="4"/>
                    <w:right w:val="single" w:color="000000" w:sz="4"/>
                  </w:tcBorders>
                </w:tcPr>
                <w:p/>
              </w:tc>
              <w:tc>
                <w:tcPr>
                  <w:tcW w:type="dxa" w:w="758"/>
                  <w:vMerge/>
                  <w:tcBorders>
                    <w:top w:val="none" w:color="000000" w:sz="4"/>
                    <w:left w:val="none" w:color="000000" w:sz="4"/>
                    <w:bottom w:val="single" w:color="000000" w:sz="4"/>
                    <w:right w:val="single" w:color="000000" w:sz="4"/>
                  </w:tcBorders>
                </w:tcP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黄埔区</w:t>
                  </w:r>
                </w:p>
              </w:tc>
              <w:tc>
                <w:tcPr>
                  <w:tcW w:type="dxa" w:w="700"/>
                  <w:vMerge/>
                  <w:tcBorders>
                    <w:top w:val="none" w:color="000000" w:sz="4"/>
                    <w:left w:val="none" w:color="000000" w:sz="4"/>
                    <w:bottom w:val="single" w:color="000000" w:sz="4"/>
                    <w:right w:val="single" w:color="000000" w:sz="4"/>
                  </w:tcBorders>
                </w:tcP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大沙地、丰乐路、文冲市场、鱼珠码头</w:t>
                  </w:r>
                </w:p>
              </w:tc>
            </w:tr>
          </w:tbl>
          <w:p>
            <w:pPr>
              <w:pStyle w:val="null3"/>
              <w:ind w:firstLine="480"/>
              <w:jc w:val="both"/>
            </w:pPr>
            <w:r>
              <w:rPr>
                <w:sz w:val="24"/>
              </w:rPr>
              <w:t>（4）★广告投放周期：投放计划分为</w:t>
            </w:r>
            <w:r>
              <w:rPr>
                <w:sz w:val="24"/>
                <w:u w:val="single"/>
              </w:rPr>
              <w:t>4个周</w:t>
            </w:r>
            <w:r>
              <w:rPr>
                <w:sz w:val="24"/>
              </w:rPr>
              <w:t>期（每</w:t>
            </w:r>
            <w:r>
              <w:rPr>
                <w:sz w:val="24"/>
                <w:u w:val="single"/>
              </w:rPr>
              <w:t xml:space="preserve"> 2 </w:t>
            </w:r>
            <w:r>
              <w:rPr>
                <w:sz w:val="24"/>
              </w:rPr>
              <w:t>周为一个周期，共8周），结合采购人的营销、公益宣传进行配套宣传投放。每一周期投放数量100块，且满足上述（1）、（2）、（3）的要求。（投标时提供承诺函，格式自拟）</w:t>
            </w:r>
          </w:p>
          <w:p>
            <w:pPr>
              <w:pStyle w:val="null3"/>
              <w:ind w:firstLine="480"/>
              <w:jc w:val="both"/>
            </w:pPr>
            <w:r>
              <w:rPr>
                <w:sz w:val="24"/>
              </w:rPr>
              <w:t>（5）在每个周期广告投放前，中标人需要把满足上述（1）、（2）、（3）要求的候车亭相关信息（例如站点的具体位置、数量等）报采购人审核，采购人有权根据宣传的需要对候车亭的具体位置进行调整。中标人按照经采购人审核确认后的候车亭进行广告的投放。（投标时提供承诺函，格式自拟）</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tc>
      </w:tr>
      <w:tr>
        <w:tc>
          <w:tcPr>
            <w:tcW w:type="dxa" w:w="2076"/>
          </w:tcPr>
          <w:p/>
        </w:tc>
        <w:tc>
          <w:tcPr>
            <w:tcW w:type="dxa" w:w="415"/>
          </w:tcPr>
          <w:p>
            <w:pPr>
              <w:pStyle w:val="null3"/>
            </w:pPr>
            <w:r>
              <w:rPr/>
              <w:t>2</w:t>
            </w:r>
          </w:p>
        </w:tc>
        <w:tc>
          <w:tcPr>
            <w:tcW w:type="dxa" w:w="5814"/>
          </w:tcPr>
          <w:p>
            <w:pPr>
              <w:pStyle w:val="null3"/>
              <w:ind w:firstLine="482"/>
              <w:jc w:val="both"/>
            </w:pPr>
            <w:r>
              <w:rPr>
                <w:sz w:val="24"/>
                <w:b/>
              </w:rPr>
              <w:t>2、广告制作和发布要求</w:t>
            </w:r>
          </w:p>
          <w:p>
            <w:pPr>
              <w:pStyle w:val="null3"/>
              <w:ind w:firstLine="480"/>
              <w:jc w:val="both"/>
            </w:pPr>
            <w:r>
              <w:rPr>
                <w:sz w:val="24"/>
              </w:rPr>
              <w:t>（1）广告素材由采购人提供，中标人收到采购人提供的广告素材之日起7个自然日内完成广告的设计、制作、修改和定稿，采购人提出修改意见的，中标人应于2个工作日内反馈修改稿交予采购人审核。中标人保证所制作和发布的广告内容不存在违反任何法律法规或侵犯任何第三方的合法权益（包括但不限于知识产权），以及违反国家政策等情形，否则相关责任均由中标人承担。如采购人因此遭受损失，中标人应予以全额赔偿。采购人对广告的审核同意，不免除中标人应当对广告内容承担的责任。中标人须按采购人提供的广告素材及要求设计制作，在广告上画前须交采购人书面确认后方可发布。</w:t>
            </w:r>
          </w:p>
          <w:p>
            <w:pPr>
              <w:pStyle w:val="null3"/>
              <w:ind w:firstLine="480"/>
              <w:jc w:val="both"/>
            </w:pPr>
            <w:r>
              <w:rPr>
                <w:sz w:val="24"/>
              </w:rPr>
              <w:t>（2）经采购人审核同意后，由中标人办理广告发布的登记/备案手续，在广告上画前须交采购人代表签字确认后方可发布，中标人须在采购人规定时间内完成全部广告画面的发布工作。</w:t>
            </w:r>
          </w:p>
          <w:p>
            <w:pPr>
              <w:pStyle w:val="null3"/>
              <w:ind w:firstLine="480"/>
              <w:jc w:val="both"/>
            </w:pPr>
            <w:r>
              <w:rPr>
                <w:sz w:val="24"/>
              </w:rPr>
              <w:t>（3）中标人须按照采购人要求，安排广告的发布日期、周期、数量和内容。</w:t>
            </w:r>
          </w:p>
          <w:p>
            <w:pPr>
              <w:pStyle w:val="null3"/>
              <w:ind w:firstLine="480"/>
              <w:jc w:val="both"/>
            </w:pPr>
            <w:r>
              <w:rPr>
                <w:sz w:val="24"/>
              </w:rPr>
              <w:t>（4）中标人须配合采购人对发布广告的现场验收或广告发布期内的抽验工作。</w:t>
            </w:r>
          </w:p>
          <w:p>
            <w:pPr>
              <w:pStyle w:val="null3"/>
              <w:ind w:firstLine="480"/>
              <w:jc w:val="both"/>
            </w:pPr>
            <w:r>
              <w:rPr>
                <w:sz w:val="24"/>
              </w:rPr>
              <w:t>（5）广告媒体因不可抗力等因素遭到破坏，中标人应重新制作并安装，制作费用、重新安装的相关费用（包括但不限于材料费、设计费、制作费、运输费、安装费、监测费等）等均由中标人承担，采购人不承担任何责任。（投标时提供承诺函，格式自拟）</w:t>
            </w:r>
          </w:p>
          <w:p>
            <w:pPr>
              <w:pStyle w:val="null3"/>
              <w:ind w:firstLine="480"/>
              <w:jc w:val="both"/>
            </w:pPr>
            <w:r>
              <w:rPr>
                <w:sz w:val="24"/>
              </w:rPr>
              <w:t>（6）如有错漏发布/投放采购人广告内容，采购人可以在广告发布（投放）后向中标人提出书面异议。</w:t>
            </w:r>
          </w:p>
          <w:p>
            <w:pPr>
              <w:pStyle w:val="null3"/>
              <w:ind w:firstLine="480"/>
              <w:jc w:val="both"/>
            </w:pPr>
            <w:r>
              <w:rPr>
                <w:sz w:val="24"/>
              </w:rPr>
              <w:t>（7）采购人协助完成以下事项：</w:t>
            </w:r>
          </w:p>
          <w:p>
            <w:pPr>
              <w:pStyle w:val="null3"/>
              <w:ind w:firstLine="480"/>
              <w:jc w:val="both"/>
            </w:pPr>
            <w:r>
              <w:rPr>
                <w:sz w:val="24"/>
              </w:rPr>
              <w:t>①在首次上画或后续需要变更广告内容时，提前7个自然日向中标人提供用于制作广告的原始资料，并交由中标人进行投放前的广告发布审批、制作和更换等工作。</w:t>
            </w:r>
          </w:p>
          <w:p>
            <w:pPr>
              <w:pStyle w:val="null3"/>
              <w:ind w:firstLine="480"/>
              <w:jc w:val="both"/>
            </w:pPr>
            <w:r>
              <w:rPr>
                <w:sz w:val="24"/>
              </w:rPr>
              <w:t>②保证其提供的广告素材的真实性和合法性，且该广告素材不存在违反任何法律法规或侵犯任何第三方的合法权益（包括但不限于知识产权），以及违反国家政策等情形。</w:t>
            </w:r>
          </w:p>
          <w:p>
            <w:pPr>
              <w:pStyle w:val="null3"/>
              <w:ind w:firstLine="480"/>
              <w:jc w:val="both"/>
            </w:pPr>
            <w:r>
              <w:rPr>
                <w:sz w:val="24"/>
              </w:rPr>
              <w:t>③负责提供发布广告内容所需的报批资料，根据项目需要包括但不限于：《事业单位法人证》复印件（盖章）、确认广告内容真实性的其它证明文件。采购人承诺其提供的上述文件和资料真实、合法、有效，不违反法律规定，未侵犯他人的民事权利。</w:t>
            </w:r>
          </w:p>
        </w:tc>
      </w:tr>
      <w:tr>
        <w:tc>
          <w:tcPr>
            <w:tcW w:type="dxa" w:w="2076"/>
          </w:tcPr>
          <w:p/>
        </w:tc>
        <w:tc>
          <w:tcPr>
            <w:tcW w:type="dxa" w:w="415"/>
          </w:tcPr>
          <w:p>
            <w:pPr>
              <w:pStyle w:val="null3"/>
            </w:pPr>
            <w:r>
              <w:rPr/>
              <w:t>3</w:t>
            </w:r>
          </w:p>
        </w:tc>
        <w:tc>
          <w:tcPr>
            <w:tcW w:type="dxa" w:w="5814"/>
          </w:tcPr>
          <w:p>
            <w:pPr>
              <w:pStyle w:val="null3"/>
              <w:ind w:firstLine="482"/>
              <w:jc w:val="both"/>
            </w:pPr>
            <w:r>
              <w:rPr>
                <w:sz w:val="24"/>
                <w:b/>
              </w:rPr>
              <w:t>3、广告维护和保养要求</w:t>
            </w:r>
          </w:p>
          <w:p>
            <w:pPr>
              <w:pStyle w:val="null3"/>
              <w:ind w:firstLine="480"/>
              <w:jc w:val="both"/>
            </w:pPr>
            <w:r>
              <w:rPr>
                <w:sz w:val="24"/>
              </w:rPr>
              <w:t>（1）中标人须负责在广告发布期间对候车亭灯箱广告的日常维护和保养，并承担在广告发布和日常维护期间相关施工人员、维护人员和第三者的安全责任。</w:t>
            </w:r>
          </w:p>
          <w:p>
            <w:pPr>
              <w:pStyle w:val="null3"/>
              <w:ind w:firstLine="480"/>
              <w:jc w:val="both"/>
            </w:pPr>
            <w:r>
              <w:rPr>
                <w:sz w:val="24"/>
              </w:rPr>
              <w:t>（2）中标人须保证候车亭灯箱广告的正常运行及清洁，并及时进行保养；如候车亭灯箱广告出现运行故障、脏污等影响广告发布效果的情形，中标人应在3个自然日内修复并将修复情况报告采购人，因此影响的广告发布时间相应顺延。若采购人对调整延期的投放时间或投放内容另有要求的，中标人应当予以配合且不得收取任何费用。</w:t>
            </w:r>
          </w:p>
        </w:tc>
      </w:tr>
      <w:tr>
        <w:tc>
          <w:tcPr>
            <w:tcW w:type="dxa" w:w="2076"/>
          </w:tcPr>
          <w:p/>
        </w:tc>
        <w:tc>
          <w:tcPr>
            <w:tcW w:type="dxa" w:w="415"/>
          </w:tcPr>
          <w:p>
            <w:pPr>
              <w:pStyle w:val="null3"/>
            </w:pPr>
            <w:r>
              <w:rPr/>
              <w:t>4</w:t>
            </w:r>
          </w:p>
        </w:tc>
        <w:tc>
          <w:tcPr>
            <w:tcW w:type="dxa" w:w="5814"/>
          </w:tcPr>
          <w:p>
            <w:pPr>
              <w:pStyle w:val="null3"/>
              <w:ind w:firstLine="482"/>
              <w:jc w:val="both"/>
            </w:pPr>
            <w:r>
              <w:rPr>
                <w:sz w:val="24"/>
                <w:b/>
              </w:rPr>
              <w:t>4、商务要求</w:t>
            </w:r>
          </w:p>
          <w:p>
            <w:pPr>
              <w:pStyle w:val="null3"/>
              <w:ind w:firstLine="480"/>
              <w:jc w:val="both"/>
            </w:pPr>
            <w:r>
              <w:rPr>
                <w:sz w:val="24"/>
              </w:rPr>
              <w:t>（1）服务期间，采购人有权以随时、随机的方式要求中标人在制定的时间内提供某一广告屏的实时录屏。</w:t>
            </w:r>
          </w:p>
          <w:p>
            <w:pPr>
              <w:pStyle w:val="null3"/>
              <w:ind w:firstLine="480"/>
              <w:jc w:val="both"/>
            </w:pPr>
            <w:r>
              <w:rPr>
                <w:sz w:val="24"/>
              </w:rPr>
              <w:t>（2）服务期间，采购人或其委托的第三方专业机构对项目实施情况进行随机抽查，中标人应配合出具关联工作报告及项目执行的证明材料，如中标人所投放的广告未符合要求的，以中标人违约处理。</w:t>
            </w:r>
          </w:p>
          <w:p>
            <w:pPr>
              <w:pStyle w:val="null3"/>
              <w:ind w:firstLine="480"/>
              <w:jc w:val="both"/>
            </w:pPr>
            <w:r>
              <w:rPr>
                <w:sz w:val="24"/>
              </w:rPr>
              <w:t>（3）中标人须按投标文件承诺做好项目巡检工作，并向采购人提供项目巡检报告。</w:t>
            </w:r>
          </w:p>
          <w:p>
            <w:pPr>
              <w:pStyle w:val="null3"/>
              <w:ind w:firstLine="480"/>
              <w:jc w:val="both"/>
            </w:pPr>
            <w:r>
              <w:rPr>
                <w:sz w:val="24"/>
              </w:rPr>
              <w:t>（4）中标人按采购人要求，在完成第4期广告投放后的15个工作日内，向采购人出具一份项目总结报告。</w:t>
            </w:r>
          </w:p>
          <w:p>
            <w:pPr>
              <w:pStyle w:val="null3"/>
              <w:ind w:firstLine="480"/>
              <w:jc w:val="both"/>
            </w:pPr>
            <w:r>
              <w:rPr>
                <w:sz w:val="24"/>
              </w:rPr>
              <w:t>（5）在广告发布过程中，抽检人员（采购人代表或采购人委派第三方机构）第一次发现中标人未按采购人要求在中标人承诺投放的媒体发布广告的，采购人将以书面形式对中标人提出警告，中标人按该批次广告发布费用的20%向采购人支付违约金，并须无条件在3日内恢复该媒体的广告投放，承诺在相同的时段顺延发布，每逾期一日，按照项目合同总金额的0.03%向采购人支付违约金。抽检人员第二次发现中标人未按采购人要求在中标人承诺投放的媒体发布广告的，采购人将以书面形式对中标人提出警告，中标人按该批次广告发布费用的50%向采购人支付违约金，并须无条件在3日内恢复该媒体的广告投放，承诺在相同的时段顺延发布，每逾期一日，按照项目合同总金额的0.03%向采购人支付违约金。抽检人员第三次发现中标人未按采购人要求在中标人承诺投放的媒体发布广告的，采购人将以书面形式对中标人提出警告，中标人按该批次广告发布费用的80%向采购人支付违约金，并须无条件在3日内恢复该媒体的广告投放，承诺在相同的时段顺延发布，每逾期一日，按照项目合同总金额的0.03%向采购人支付违约金。抽检人员第四次发现中标人未按采购人要求在中标人承诺投放的媒体发布广告的，采购人有权单方面解除合同，中标人须支付合同总额20%的违约金给采购人。</w:t>
            </w:r>
          </w:p>
          <w:p>
            <w:pPr>
              <w:pStyle w:val="null3"/>
              <w:ind w:firstLine="480"/>
              <w:jc w:val="both"/>
            </w:pPr>
            <w:r>
              <w:rPr>
                <w:sz w:val="24"/>
              </w:rPr>
              <w:t>（6）中标人须按合同约定刊发采购人的广告，若因中标人的原因单方面中止/终止上刊，每发生一次，中标人须支付合同总额20%的违约金给采购人，并承诺在相同的时段顺延上刊。若采购人对调整延期的上刊时间另有要求的，中标人应当予以配合。</w:t>
            </w:r>
          </w:p>
          <w:p>
            <w:pPr>
              <w:pStyle w:val="null3"/>
              <w:ind w:firstLine="480"/>
              <w:jc w:val="both"/>
            </w:pPr>
            <w:r>
              <w:rPr>
                <w:sz w:val="24"/>
              </w:rPr>
              <w:t>（7）广告上刊期间，除自然灾害等不可抗力因素及在上刊的过程中如遇政府部门重大宣传任务或突发事件的上刊需调整上刊时间外，不得出现漏刊、错刊，如有违反，由中标人负责采取补救措施，并以“漏一补一、错一补一”的原则在相同的时段安排补刊，因此影响的广告发布时间相应顺延。若采购人对调整延期的投放时间另有要求的，中标人应当予以配合。</w:t>
            </w:r>
          </w:p>
          <w:p>
            <w:pPr>
              <w:pStyle w:val="null3"/>
              <w:ind w:firstLine="480"/>
              <w:jc w:val="both"/>
            </w:pPr>
            <w:r>
              <w:rPr>
                <w:sz w:val="24"/>
              </w:rPr>
              <w:t>（8）中标人须承诺采购人广告发布期间，除不可抗力及政府政策外，不得擅自撤除广告或遮挡广告的任何部分，否则，每发现一次撤除或一处遮挡，按照本合同总金额的0.03%向采购人支付违约金。中标人应在采购人要求的时间内恢复上刊本合同约定的全部广告内容，每逾期一日，按照本合同总金额的0.03%向采购人支付违约金。</w:t>
            </w:r>
          </w:p>
          <w:p>
            <w:pPr>
              <w:pStyle w:val="null3"/>
              <w:ind w:firstLine="480"/>
              <w:jc w:val="both"/>
            </w:pPr>
            <w:r>
              <w:rPr>
                <w:sz w:val="24"/>
              </w:rPr>
              <w:t>（9）因不可抗力及政府政策导致投放的广告场地封闭等情况，中标人须以“缺一补一”的方式相应顺延广告发布期限。若采购人对调整延期的投放时间另有要求的，中标人应当予以配合。</w:t>
            </w:r>
          </w:p>
          <w:p>
            <w:pPr>
              <w:pStyle w:val="null3"/>
              <w:ind w:firstLine="480"/>
              <w:jc w:val="left"/>
            </w:pPr>
            <w:r>
              <w:rPr>
                <w:sz w:val="24"/>
              </w:rPr>
              <w:t>（10）在广告投放期间，如上刊过程中遇到位置需要变动，中标人须在影响广告发布的事件发生后1个工作日内根据采购需求的“在广州市各区繁华路段的候车亭灯箱广告投放福彩营销、公益广告”需求要求，在此范围内调整，并需要书面获得采购人确认，因此影响的广告发布时间相应顺延，并承诺在相同时段发布。若采购人对调整延期的投放时间或投放内容另有要求的，中标人应当予以配合且不得收取任何费用。（投标时提供承诺函，格式自拟）</w:t>
            </w:r>
          </w:p>
        </w:tc>
      </w:tr>
      <w:tr>
        <w:tc>
          <w:tcPr>
            <w:tcW w:type="dxa" w:w="2076"/>
          </w:tcPr>
          <w:p/>
        </w:tc>
        <w:tc>
          <w:tcPr>
            <w:tcW w:type="dxa" w:w="415"/>
          </w:tcPr>
          <w:p>
            <w:pPr>
              <w:pStyle w:val="null3"/>
            </w:pPr>
            <w:r>
              <w:rPr/>
              <w:t>5</w:t>
            </w:r>
          </w:p>
        </w:tc>
        <w:tc>
          <w:tcPr>
            <w:tcW w:type="dxa" w:w="5814"/>
          </w:tcPr>
          <w:p>
            <w:pPr>
              <w:pStyle w:val="null3"/>
              <w:ind w:firstLine="482"/>
              <w:jc w:val="both"/>
            </w:pPr>
            <w:r>
              <w:rPr>
                <w:sz w:val="24"/>
                <w:b/>
              </w:rPr>
              <w:t>5、服务团队要求</w:t>
            </w:r>
          </w:p>
          <w:p>
            <w:pPr>
              <w:pStyle w:val="null3"/>
              <w:ind w:firstLine="480"/>
              <w:jc w:val="both"/>
            </w:pPr>
            <w:r>
              <w:rPr>
                <w:sz w:val="24"/>
              </w:rPr>
              <w:t>（1）投标人承诺为该合作项目配备职能完整、人员稳定的服务团队。</w:t>
            </w:r>
          </w:p>
          <w:p>
            <w:pPr>
              <w:pStyle w:val="null3"/>
              <w:ind w:firstLine="480"/>
              <w:jc w:val="both"/>
            </w:pPr>
            <w:r>
              <w:rPr>
                <w:sz w:val="24"/>
              </w:rPr>
              <w:t>（2）中标人派团队人员人数不低于10人，项目负责人需具有5年或以上传媒广告类工作经验，中标人团队人员至少含1名设计人员，需具有3年或以上平面广告设计工作经验。</w:t>
            </w:r>
          </w:p>
          <w:p>
            <w:pPr>
              <w:pStyle w:val="null3"/>
              <w:ind w:firstLine="480"/>
              <w:jc w:val="left"/>
            </w:pPr>
            <w:r>
              <w:rPr>
                <w:sz w:val="24"/>
              </w:rPr>
              <w:t>（3）合同期间，项目团队成员如出现不服从采购人管理或服务质量不到位等情况，采购人有权要求替换服务团队的成员，不低于中标人投标响应时的人员标准。</w:t>
            </w:r>
          </w:p>
        </w:tc>
      </w:tr>
      <w:tr>
        <w:tc>
          <w:tcPr>
            <w:tcW w:type="dxa" w:w="2076"/>
          </w:tcPr>
          <w:p/>
        </w:tc>
        <w:tc>
          <w:tcPr>
            <w:tcW w:type="dxa" w:w="415"/>
          </w:tcPr>
          <w:p>
            <w:pPr>
              <w:pStyle w:val="null3"/>
            </w:pPr>
            <w:r>
              <w:rPr/>
              <w:t>6</w:t>
            </w:r>
          </w:p>
        </w:tc>
        <w:tc>
          <w:tcPr>
            <w:tcW w:type="dxa" w:w="5814"/>
          </w:tcPr>
          <w:p>
            <w:pPr>
              <w:pStyle w:val="null3"/>
              <w:ind w:firstLine="482"/>
              <w:jc w:val="both"/>
            </w:pPr>
            <w:r>
              <w:rPr>
                <w:sz w:val="24"/>
                <w:b/>
              </w:rPr>
              <w:t>★6、项目履约保障要求</w:t>
            </w:r>
          </w:p>
          <w:p>
            <w:pPr>
              <w:pStyle w:val="null3"/>
              <w:ind w:firstLine="480"/>
              <w:jc w:val="left"/>
            </w:pPr>
            <w:r>
              <w:rPr>
                <w:sz w:val="24"/>
              </w:rPr>
              <w:t>投标人须提供其能满足本项目投放要求的承诺函，并在中标公告发布后10天内提供满足本项目投放要求的候车亭广告发布的经营权或者代理权等有效授权。如在规定时间内未提供有效授权，采购人将取消中标人的中标资格，并根据法律法规的相关规定办理相关手续，中标人须承担相应的法律责任。（投标时提供承诺函，格式自拟）</w:t>
            </w:r>
          </w:p>
        </w:tc>
      </w:tr>
      <w:tr>
        <w:tc>
          <w:tcPr>
            <w:tcW w:type="dxa" w:w="2076"/>
          </w:tcPr>
          <w:p/>
        </w:tc>
        <w:tc>
          <w:tcPr>
            <w:tcW w:type="dxa" w:w="415"/>
          </w:tcPr>
          <w:p>
            <w:pPr>
              <w:pStyle w:val="null3"/>
            </w:pPr>
            <w:r>
              <w:rPr/>
              <w:t>7</w:t>
            </w:r>
          </w:p>
        </w:tc>
        <w:tc>
          <w:tcPr>
            <w:tcW w:type="dxa" w:w="5814"/>
          </w:tcPr>
          <w:p>
            <w:pPr>
              <w:pStyle w:val="null3"/>
              <w:ind w:firstLine="482"/>
              <w:jc w:val="both"/>
            </w:pPr>
            <w:r>
              <w:rPr>
                <w:sz w:val="24"/>
                <w:b/>
              </w:rPr>
              <w:t>7、服务响应时间要求</w:t>
            </w:r>
          </w:p>
          <w:p>
            <w:pPr>
              <w:pStyle w:val="null3"/>
              <w:ind w:firstLine="480"/>
              <w:jc w:val="both"/>
            </w:pPr>
            <w:r>
              <w:rPr>
                <w:sz w:val="24"/>
              </w:rPr>
              <w:t>（1）中标人收到采购人提供的广告素材之日起7个自然日内完成广告的设计、制作、修改和定稿，采购人提出修改意见的，中标人应于2个工作日内反馈修改稿交予采购人审核。</w:t>
            </w:r>
          </w:p>
          <w:p>
            <w:pPr>
              <w:pStyle w:val="null3"/>
              <w:ind w:firstLine="480"/>
              <w:jc w:val="both"/>
            </w:pPr>
            <w:r>
              <w:rPr>
                <w:sz w:val="24"/>
              </w:rPr>
              <w:t>（2）在服务期间，采购人抽查发现或者接到人员致电上刊质量存在问题（例如上刊上错了或者有损坏等），中标人需在接到采购人通知后30分钟（含）内响应，当天解决问题，并提供完工的佐证材料（例如照片、视频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广东省福利彩票发行中心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福彩广州公交候车亭灯箱广告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采购包1（广东福彩广州公交候车亭灯箱广告项目）：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采购包1（广东福彩广州公交候车亭灯箱广告项目）：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供应商必须具有良好的商业信誉和健全的财务会计制度（提供以下2种证明材料之一：①2023年度经会计师事务所审计的财务状况报告；②基本开户行出具的资信证明和《基本存款账号信息》）。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企业采购。投标人须符合本项目采购标的对应行业（本项目行业为：租赁和商务服务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采购包1（广东福彩广州公交候车亭灯箱广告项目）：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采购包1(广东福彩广州公交候车亭灯箱广告项目):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项目整体实施方案 (14.0分)</w:t>
            </w:r>
            <w:r>
              <w:rPr/>
              <w:t>，（等次分值选择：</w:t>
            </w:r>
            <w:r>
              <w:rPr/>
              <w:t>0.0;</w:t>
            </w:r>
            <w:r>
              <w:rPr/>
              <w:t>4.0;</w:t>
            </w:r>
            <w:r>
              <w:rPr/>
              <w:t>9.0;</w:t>
            </w:r>
            <w:r>
              <w:rPr/>
              <w:t>14.0;</w:t>
            </w:r>
            <w:r>
              <w:rPr/>
              <w:t>）</w:t>
            </w:r>
          </w:p>
        </w:tc>
        <w:tc>
          <w:tcPr>
            <w:tcW w:type="dxa" w:w="5076"/>
          </w:tcPr>
          <w:p>
            <w:pPr>
              <w:pStyle w:val="null3"/>
              <w:jc w:val="left"/>
            </w:pPr>
            <w:r>
              <w:rPr/>
              <w:t>根据投标人就本项目整体实施方案的（包括但不限于①投放时间、②广告制作和发布、③广告维护和保养等）进行评审： （1）方案完整，合理性强、可行性高、技术专业可靠，完全满足且优于采购需求的，得14分； （2）方案完整，有一定的合理性、可行性及技术专业可靠性，完全满足采购需求的，得9分； （3）方案有欠缺，或方案合理性差，或可行性差，或技术专业可靠性低，不完全满足采购需求的，得4分； （4）未提供或方案有欠缺，或方案不合理，或方案不具可行性，或方案无技术专业可靠性或没有相关内容或其他情况，得0分。</w:t>
            </w:r>
          </w:p>
        </w:tc>
      </w:tr>
      <w:tr>
        <w:tc>
          <w:tcPr>
            <w:tcW w:type="dxa" w:w="922"/>
            <w:gridSpan w:val="2"/>
            <w:vMerge/>
          </w:tcPr>
          <w:p/>
        </w:tc>
        <w:tc>
          <w:tcPr>
            <w:tcW w:type="dxa" w:w="2307"/>
          </w:tcPr>
          <w:p>
            <w:pPr>
              <w:pStyle w:val="null3"/>
              <w:jc w:val="left"/>
            </w:pPr>
            <w:r>
              <w:rPr/>
              <w:t>服务保障方案 (14.0分)</w:t>
            </w:r>
            <w:r>
              <w:rPr/>
              <w:t>，（等次分值选择：</w:t>
            </w:r>
            <w:r>
              <w:rPr/>
              <w:t>0.0;</w:t>
            </w:r>
            <w:r>
              <w:rPr/>
              <w:t>4.0;</w:t>
            </w:r>
            <w:r>
              <w:rPr/>
              <w:t>9.0;</w:t>
            </w:r>
            <w:r>
              <w:rPr/>
              <w:t>14.0;</w:t>
            </w:r>
            <w:r>
              <w:rPr/>
              <w:t>）</w:t>
            </w:r>
          </w:p>
        </w:tc>
        <w:tc>
          <w:tcPr>
            <w:tcW w:type="dxa" w:w="5076"/>
          </w:tcPr>
          <w:p>
            <w:pPr>
              <w:pStyle w:val="null3"/>
              <w:jc w:val="left"/>
            </w:pPr>
            <w:r>
              <w:rPr/>
              <w:t>根据投标人的服务保障方案（包括但不限于①质量保障措施、②维护方案、③应急方案等）进行评审： （1）涵盖上述所有内容且质量保障措施具体、明确，维护方案内容描述明确清晰，应急方案完善可行，完全满足且优于采购需求的，得14分； （2）涵盖上述所有内容且质量保障措施明确，维护方案内容描述清晰，应急方案基本可行，完全满足采购需求的，得9分； （3）涵盖上述所有内容但质量保障措施不明确，维护方案内容描述、应急方案不清晰，不完全满足采购需求的，得4分； （4）未提供或未涵盖上述所有内容，且质量保障措施不明确，维护方案内容描述、应急方案不清晰，没有可行性的或没有相关内容的，得0分。</w:t>
            </w:r>
          </w:p>
        </w:tc>
      </w:tr>
      <w:tr>
        <w:tc>
          <w:tcPr>
            <w:tcW w:type="dxa" w:w="922"/>
            <w:gridSpan w:val="2"/>
            <w:vMerge/>
          </w:tcPr>
          <w:p/>
        </w:tc>
        <w:tc>
          <w:tcPr>
            <w:tcW w:type="dxa" w:w="2307"/>
          </w:tcPr>
          <w:p>
            <w:pPr>
              <w:pStyle w:val="null3"/>
              <w:jc w:val="left"/>
            </w:pPr>
            <w:r>
              <w:rPr/>
              <w:t>发布期间巡检方案 (14.0分)</w:t>
            </w:r>
            <w:r>
              <w:rPr/>
              <w:t>，（等次分值选择：</w:t>
            </w:r>
            <w:r>
              <w:rPr/>
              <w:t>0.0;</w:t>
            </w:r>
            <w:r>
              <w:rPr/>
              <w:t>4.0;</w:t>
            </w:r>
            <w:r>
              <w:rPr/>
              <w:t>9.0;</w:t>
            </w:r>
            <w:r>
              <w:rPr/>
              <w:t>14.0;</w:t>
            </w:r>
            <w:r>
              <w:rPr/>
              <w:t>）</w:t>
            </w:r>
          </w:p>
        </w:tc>
        <w:tc>
          <w:tcPr>
            <w:tcW w:type="dxa" w:w="5076"/>
          </w:tcPr>
          <w:p>
            <w:pPr>
              <w:pStyle w:val="null3"/>
              <w:jc w:val="left"/>
            </w:pPr>
            <w:r>
              <w:rPr/>
              <w:t>根据投标人针对本项目广告投放期间的巡检方案（包括但不限于①投放范围巡检、②投放时长投放频次巡检、③投放质量巡检、④提供巡检报告等）进行评审： （1）方案设计完整、可行，监管过程科学合理、描述准确，完全满足且优于采购需求的，得14分； （2）方案设计基本完整、基本可行，监管过程科学合理，描述基本准确，完全满足采购需求的，得9分； （3）方案设计不够完整，有一定可行性，监管过程有一定科学合理，描述不够准确，不完全满足采购需求的，得4分； （4）未提供或方案设计不完整，可行性差，或监管过程不科学合理，或描述不准确，或不能满足采购需求或没有相关内容或其他情况，得0分。</w:t>
            </w:r>
          </w:p>
        </w:tc>
      </w:tr>
      <w:tr>
        <w:tc>
          <w:tcPr>
            <w:tcW w:type="dxa" w:w="922"/>
            <w:gridSpan w:val="2"/>
            <w:vMerge/>
          </w:tcPr>
          <w:p/>
        </w:tc>
        <w:tc>
          <w:tcPr>
            <w:tcW w:type="dxa" w:w="2307"/>
          </w:tcPr>
          <w:p>
            <w:pPr>
              <w:pStyle w:val="null3"/>
              <w:jc w:val="left"/>
            </w:pPr>
            <w:r>
              <w:rPr/>
              <w:t>项目团队成员 (2.0分)</w:t>
            </w:r>
          </w:p>
        </w:tc>
        <w:tc>
          <w:tcPr>
            <w:tcW w:type="dxa" w:w="5076"/>
          </w:tcPr>
          <w:p>
            <w:pPr>
              <w:pStyle w:val="null3"/>
              <w:jc w:val="left"/>
            </w:pPr>
            <w:r>
              <w:rPr/>
              <w:t>项目团队成员10人及以上（含项目负责人及设计人员）的得2分，5人（含）-10人的得1分，少于5人的，得0分。 注：本项最高得2分。需提供加盖投标人公章的项目团队人员一览表（需包含服务团队的数量、结构）及2024年5月以来任意一个月投标人为该团队成员缴纳社保的证明材料复印件，不提供不得分。</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项目负责人具有传媒广告类工作经验，5年及以上的得3分；3年至5年（不含5年）的得1.5分；3年以下（不含3年）的得0分。 注：本项最高得3分。需提供加盖投标人公章的项目负责人的个人工作履历及2024年5月以来任意一个月投标人为该人员缴纳社保的证明材料复印件，不提供不得分。</w:t>
            </w:r>
          </w:p>
        </w:tc>
      </w:tr>
      <w:tr>
        <w:tc>
          <w:tcPr>
            <w:tcW w:type="dxa" w:w="922"/>
            <w:gridSpan w:val="2"/>
            <w:vMerge/>
          </w:tcPr>
          <w:p/>
        </w:tc>
        <w:tc>
          <w:tcPr>
            <w:tcW w:type="dxa" w:w="2307"/>
          </w:tcPr>
          <w:p>
            <w:pPr>
              <w:pStyle w:val="null3"/>
              <w:jc w:val="left"/>
            </w:pPr>
            <w:r>
              <w:rPr/>
              <w:t>设计人员 (3.0分)</w:t>
            </w:r>
          </w:p>
        </w:tc>
        <w:tc>
          <w:tcPr>
            <w:tcW w:type="dxa" w:w="5076"/>
          </w:tcPr>
          <w:p>
            <w:pPr>
              <w:pStyle w:val="null3"/>
              <w:jc w:val="left"/>
            </w:pPr>
            <w:r>
              <w:rPr/>
              <w:t>设计人员具有平面广告设计工作经验，3年及以上的得3分；1年至3年（不含3年）的得1.5分；1年以下（不含1年）的得0分。 注：本项最高得3分。需提供加盖投标人公章的设计人员的个人工作履历及2024年5月以来任意一个月投标人为该人员缴纳社保的证明材料复印件，不提供不得分。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(6.0分)</w:t>
            </w:r>
          </w:p>
        </w:tc>
        <w:tc>
          <w:tcPr>
            <w:tcW w:type="dxa" w:w="5076"/>
          </w:tcPr>
          <w:p>
            <w:pPr>
              <w:pStyle w:val="null3"/>
              <w:jc w:val="left"/>
            </w:pPr>
            <w:r>
              <w:rPr/>
              <w:t>根据投标人对采购需求“4、商务要求”的响应程度，完全满足得6分，每有1条不满足扣1分。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投标人具有ISO9001质量管理体系认证证书，得3分。 注：提供证书复印件，并须同时提供在全国认证认可信息公共服务平台（www.cnca.cn）对体系证书的信息查询截图作为评审依据，已暂停、失效或撤销的不得分。新设立企业成立时间不足三个月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同类业绩 (8.0分)</w:t>
            </w:r>
          </w:p>
        </w:tc>
        <w:tc>
          <w:tcPr>
            <w:tcW w:type="dxa" w:w="5076"/>
          </w:tcPr>
          <w:p>
            <w:pPr>
              <w:pStyle w:val="null3"/>
              <w:jc w:val="left"/>
            </w:pPr>
            <w:r>
              <w:rPr/>
              <w:t>2021年1月1日以来（以合同签订时间为准）同类项目情况，每提供一个同类项目业绩得2分，最高得8分。注：须提供合同复印件加盖投标人公章，不符合以上要求不得分。</w:t>
            </w:r>
          </w:p>
        </w:tc>
      </w:tr>
      <w:tr>
        <w:tc>
          <w:tcPr>
            <w:tcW w:type="dxa" w:w="922"/>
            <w:gridSpan w:val="2"/>
            <w:vMerge/>
          </w:tcPr>
          <w:p/>
        </w:tc>
        <w:tc>
          <w:tcPr>
            <w:tcW w:type="dxa" w:w="2307"/>
          </w:tcPr>
          <w:p>
            <w:pPr>
              <w:pStyle w:val="null3"/>
              <w:jc w:val="left"/>
            </w:pPr>
            <w:r>
              <w:rPr/>
              <w:t>服务响应时间（1） (5.0分)</w:t>
            </w:r>
          </w:p>
        </w:tc>
        <w:tc>
          <w:tcPr>
            <w:tcW w:type="dxa" w:w="5076"/>
          </w:tcPr>
          <w:p>
            <w:pPr>
              <w:pStyle w:val="null3"/>
              <w:jc w:val="left"/>
            </w:pPr>
            <w:r>
              <w:rPr/>
              <w:t>根据投标人提供的服务承诺响应时间进行评审： （1）承诺在服务期间，采购人抽查发现或者接到人员致电上刊质量存在问题（例如上刊上错了或者有损坏等），中标人需在接到采购人通知后30分钟（含）内响应，当天解决问题，并提供完工的佐证材料（例如照片、视频等）。得5分。 （2）承诺在服务期间，采购人抽查发现或者接到人员致电上刊质量存在问题（例如上刊上错了或者有损坏等），中标人需在接到采购人通知后30分钟（含）内响应，第二天解决问题，并提供完工的佐证材料（例如照片、视频等）。得2分。 （3）其他或者无相关承诺不得分。 注：须提供服务承诺书（格式自拟）加盖投标人公章，不符合以上要求不得分。</w:t>
            </w:r>
          </w:p>
        </w:tc>
      </w:tr>
      <w:tr>
        <w:tc>
          <w:tcPr>
            <w:tcW w:type="dxa" w:w="922"/>
            <w:gridSpan w:val="2"/>
            <w:vMerge/>
          </w:tcPr>
          <w:p/>
        </w:tc>
        <w:tc>
          <w:tcPr>
            <w:tcW w:type="dxa" w:w="2307"/>
          </w:tcPr>
          <w:p>
            <w:pPr>
              <w:pStyle w:val="null3"/>
              <w:jc w:val="left"/>
            </w:pPr>
            <w:r>
              <w:rPr/>
              <w:t>服务响应时间（2） (8.0分)</w:t>
            </w:r>
          </w:p>
        </w:tc>
        <w:tc>
          <w:tcPr>
            <w:tcW w:type="dxa" w:w="5076"/>
          </w:tcPr>
          <w:p>
            <w:pPr>
              <w:pStyle w:val="null3"/>
              <w:jc w:val="left"/>
            </w:pPr>
            <w:r>
              <w:rPr/>
              <w:t>投标人对广告设计及制作服务响应时间的承诺，基于采购需求“中标人收到采购人提供的广告素材之日起7个自然日内完成广告的设计、制作、修改和定稿，采购人提出修改意见的，中标人应于2个工作日内反馈修改稿交予采购人审核”进行承诺： （1）完全满足且优于采购需求的，得8分； （2）完全满足采购需求的，得4分； （3）不满足采购需求或无相关承诺不得分。 注：须提供服务承诺书（格式自拟）加盖投标人公章，不符合以上要求不得分。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7"/>
          <w:b/>
        </w:rPr>
        <w:t>广东福彩广州公交候车亭灯箱广告项目合同书</w:t>
      </w:r>
    </w:p>
    <w:p>
      <w:pPr>
        <w:pStyle w:val="null3"/>
        <w:ind w:firstLine="480"/>
        <w:jc w:val="both"/>
      </w:pPr>
      <w:r>
        <w:rPr>
          <w:sz w:val="24"/>
        </w:rPr>
        <w:t>甲方：广东省福利彩票发行中心</w:t>
      </w:r>
    </w:p>
    <w:p>
      <w:pPr>
        <w:pStyle w:val="null3"/>
        <w:ind w:firstLine="480"/>
        <w:jc w:val="both"/>
      </w:pPr>
      <w:r>
        <w:rPr>
          <w:sz w:val="24"/>
        </w:rPr>
        <w:t>地址：广州市越秀区东风中路300号之一西侧</w:t>
      </w:r>
    </w:p>
    <w:p>
      <w:pPr>
        <w:pStyle w:val="null3"/>
        <w:ind w:firstLine="480"/>
        <w:jc w:val="both"/>
      </w:pPr>
      <w:r>
        <w:rPr>
          <w:sz w:val="24"/>
        </w:rPr>
        <w:t>联系人：</w:t>
      </w:r>
    </w:p>
    <w:p>
      <w:pPr>
        <w:pStyle w:val="null3"/>
        <w:ind w:firstLine="480"/>
        <w:jc w:val="both"/>
      </w:pPr>
      <w:r>
        <w:rPr>
          <w:sz w:val="24"/>
        </w:rPr>
        <w:t>电话：</w:t>
      </w:r>
    </w:p>
    <w:p>
      <w:pPr>
        <w:pStyle w:val="null3"/>
        <w:ind w:firstLine="480"/>
        <w:jc w:val="both"/>
      </w:pPr>
      <w:r>
        <w:rPr>
          <w:sz w:val="24"/>
        </w:rPr>
        <w:t>乙方：</w:t>
      </w:r>
    </w:p>
    <w:p>
      <w:pPr>
        <w:pStyle w:val="null3"/>
        <w:ind w:firstLine="480"/>
        <w:jc w:val="both"/>
      </w:pPr>
      <w:r>
        <w:rPr>
          <w:sz w:val="24"/>
        </w:rPr>
        <w:t>地址：</w:t>
      </w:r>
    </w:p>
    <w:p>
      <w:pPr>
        <w:pStyle w:val="null3"/>
        <w:ind w:firstLine="480"/>
        <w:jc w:val="both"/>
      </w:pPr>
      <w:r>
        <w:rPr>
          <w:sz w:val="24"/>
        </w:rPr>
        <w:t>联系人：</w:t>
      </w:r>
    </w:p>
    <w:p>
      <w:pPr>
        <w:pStyle w:val="null3"/>
        <w:ind w:firstLine="480"/>
        <w:jc w:val="both"/>
      </w:pPr>
      <w:r>
        <w:rPr>
          <w:sz w:val="24"/>
        </w:rPr>
        <w:t>电话：</w:t>
      </w:r>
    </w:p>
    <w:p>
      <w:pPr>
        <w:pStyle w:val="null3"/>
        <w:ind w:firstLine="480"/>
        <w:jc w:val="both"/>
      </w:pPr>
      <w:r>
        <w:rPr>
          <w:sz w:val="24"/>
        </w:rPr>
        <w:t>本合同根据</w:t>
      </w:r>
      <w:r>
        <w:rPr>
          <w:sz w:val="24"/>
          <w:u w:val="single"/>
        </w:rPr>
        <w:t>2024</w:t>
      </w:r>
      <w:r>
        <w:rPr>
          <w:sz w:val="24"/>
        </w:rPr>
        <w:t>年</w:t>
      </w:r>
      <w:r>
        <w:rPr>
          <w:sz w:val="24"/>
          <w:u w:val="single"/>
        </w:rPr>
        <w:t xml:space="preserve">   </w:t>
      </w:r>
      <w:r>
        <w:rPr>
          <w:sz w:val="24"/>
        </w:rPr>
        <w:t>月</w:t>
      </w:r>
      <w:r>
        <w:rPr>
          <w:sz w:val="24"/>
          <w:u w:val="single"/>
        </w:rPr>
        <w:t xml:space="preserve">   </w:t>
      </w:r>
      <w:r>
        <w:rPr>
          <w:sz w:val="24"/>
        </w:rPr>
        <w:t>日进行的</w:t>
      </w:r>
      <w:r>
        <w:rPr>
          <w:sz w:val="24"/>
          <w:u w:val="single"/>
        </w:rPr>
        <w:t>广东福彩广州公交候车亭灯箱广告项目</w:t>
      </w:r>
      <w:r>
        <w:rPr>
          <w:sz w:val="24"/>
        </w:rPr>
        <w:t>（项目编号：440001-2024-53430）的公开招标结果，广东省福利彩票发行中心（以下称为甲方）确定</w:t>
      </w:r>
      <w:r>
        <w:rPr>
          <w:sz w:val="24"/>
          <w:u w:val="single"/>
        </w:rPr>
        <w:t xml:space="preserve">        </w:t>
      </w:r>
      <w:r>
        <w:rPr>
          <w:sz w:val="24"/>
        </w:rPr>
        <w:t>（以下称为乙方）为该采购项目的中标供应商。根据《中华人民共和国政府采购法》、《中华人民共和国民法典》、《中华人民共和国广告法》等相关法律法规及</w:t>
      </w:r>
      <w:r>
        <w:rPr>
          <w:sz w:val="24"/>
          <w:u w:val="single"/>
        </w:rPr>
        <w:t>广东福彩广州公交候车亭灯箱广告项目</w:t>
      </w:r>
      <w:r>
        <w:rPr>
          <w:sz w:val="24"/>
        </w:rPr>
        <w:t>公开招标文件（项目编号：440001-2024-53430）要求和乙方投标响应及承诺，经双方友好协商，本着平等互利和诚实信用的原则签订本合同。</w:t>
      </w:r>
    </w:p>
    <w:p>
      <w:pPr>
        <w:pStyle w:val="null3"/>
        <w:ind w:firstLine="482"/>
        <w:jc w:val="both"/>
      </w:pPr>
      <w:r>
        <w:rPr>
          <w:sz w:val="24"/>
          <w:b/>
        </w:rPr>
        <w:t>一、合作内容</w:t>
      </w:r>
    </w:p>
    <w:p>
      <w:pPr>
        <w:pStyle w:val="null3"/>
        <w:ind w:firstLine="480"/>
        <w:jc w:val="both"/>
      </w:pPr>
      <w:r>
        <w:rPr>
          <w:sz w:val="24"/>
        </w:rPr>
        <w:t>（一）合作期间，乙方按甲方要求在广州市内投放100块公交车候车亭灯箱广告，用于发布民政、福彩相关的主题营销、公益宣传平面广告。</w:t>
      </w:r>
    </w:p>
    <w:p>
      <w:pPr>
        <w:pStyle w:val="null3"/>
        <w:ind w:firstLine="480"/>
        <w:jc w:val="both"/>
      </w:pPr>
      <w:r>
        <w:rPr>
          <w:sz w:val="24"/>
        </w:rPr>
        <w:t>（二）服务期限：2年，2025年1月1日至2026年12月31日，或广告投放周期全部发布结束则视为服务期结束（以时间在先者为准，因乙方违约导致合同提前解除的除外）。</w:t>
      </w:r>
    </w:p>
    <w:p>
      <w:pPr>
        <w:pStyle w:val="null3"/>
        <w:ind w:firstLine="480"/>
        <w:jc w:val="both"/>
      </w:pPr>
      <w:r>
        <w:rPr>
          <w:sz w:val="24"/>
        </w:rPr>
        <w:t>（三）在广州市各区繁华路段内的100块候车亭灯箱广告投放宣传广告：</w:t>
      </w:r>
    </w:p>
    <w:p>
      <w:pPr>
        <w:pStyle w:val="null3"/>
        <w:ind w:firstLine="480"/>
        <w:jc w:val="both"/>
      </w:pPr>
      <w:r>
        <w:rPr>
          <w:sz w:val="24"/>
        </w:rPr>
        <w:t>（1）越秀区：投放量不低于总投放量的60%，须覆盖东风路、吉祥路、中山路、环市路、解放路路段，且包含不少于2个主要商圈或社区（如：北京路商圈、环市路商圈等商圈或大型社区），其中东风路段和吉祥路段不低于总投放量的30%；</w:t>
      </w:r>
    </w:p>
    <w:p>
      <w:pPr>
        <w:pStyle w:val="null3"/>
        <w:ind w:firstLine="480"/>
        <w:jc w:val="both"/>
      </w:pPr>
      <w:r>
        <w:rPr>
          <w:sz w:val="24"/>
        </w:rPr>
        <w:t>（2）其他区：在广告投放周期内，每个周期、每个批次均必须在全部区域都有投放公交车候车亭灯箱广告。其中：</w:t>
      </w:r>
    </w:p>
    <w:p>
      <w:pPr>
        <w:pStyle w:val="null3"/>
        <w:ind w:firstLine="480"/>
        <w:jc w:val="both"/>
      </w:pPr>
      <w:r>
        <w:rPr>
          <w:sz w:val="24"/>
        </w:rPr>
        <w:t>①天河区：须覆盖黄埔大道、中山大道、广州大道、临江大道、花城大道（马场路、车陂路、体育中心）路段，且包含不少于3个主要商圈或社区（如：珠江新城CBD、体育中心商圈、天河北商圈等商圈或大型社区）；</w:t>
      </w:r>
    </w:p>
    <w:p>
      <w:pPr>
        <w:pStyle w:val="null3"/>
        <w:ind w:firstLine="480"/>
        <w:jc w:val="both"/>
      </w:pPr>
      <w:r>
        <w:rPr>
          <w:sz w:val="24"/>
        </w:rPr>
        <w:t>②海珠区：须覆盖滨江路、宝岗大道、新港路、工业大道、广州大道南、阅江路路段，且包含不少于2个主要商圈或社区（如：海珠商圈、琶洲新硅谷等商圈或大型社区）；</w:t>
      </w:r>
    </w:p>
    <w:p>
      <w:pPr>
        <w:pStyle w:val="null3"/>
        <w:ind w:firstLine="480"/>
        <w:jc w:val="both"/>
      </w:pPr>
      <w:r>
        <w:rPr>
          <w:sz w:val="24"/>
        </w:rPr>
        <w:t>③荔湾区：须覆盖人民路、中山路、黄沙、芳村大道、花地大道路段，且包含不少于2个主要商圈或社区（如：上下九商圈、芳村商圈等商圈或大型社区）；</w:t>
      </w:r>
    </w:p>
    <w:p>
      <w:pPr>
        <w:pStyle w:val="null3"/>
        <w:ind w:firstLine="480"/>
        <w:jc w:val="both"/>
      </w:pPr>
      <w:r>
        <w:rPr>
          <w:sz w:val="24"/>
        </w:rPr>
        <w:t>④白云区：须覆盖广园路、黄石路、三元里大道（云城西路）、金沙洲路段，且包含不少于2个主要商圈或社区（如：白云商圈、万达广场、金沙洲大型社区商圈等商圈或大型社区）；</w:t>
      </w:r>
    </w:p>
    <w:p>
      <w:pPr>
        <w:pStyle w:val="null3"/>
        <w:ind w:firstLine="480"/>
        <w:jc w:val="both"/>
      </w:pPr>
      <w:r>
        <w:rPr>
          <w:sz w:val="24"/>
        </w:rPr>
        <w:t>⑤番禺区：须覆盖大学城、广州南站石山大道路段，且包含不少于2个主要商圈或社区（如：大学城教育及生活大型社区、广州南站经济及生活商圈等商圈或大型社区）；</w:t>
      </w:r>
    </w:p>
    <w:p>
      <w:pPr>
        <w:pStyle w:val="null3"/>
        <w:ind w:firstLine="480"/>
        <w:jc w:val="both"/>
      </w:pPr>
      <w:r>
        <w:rPr>
          <w:sz w:val="24"/>
        </w:rPr>
        <w:t>⑥黄埔区：须覆盖大沙地、丰乐路、文冲市场、鱼珠码头，覆盖不少于4个主要商圈或社区（如：大沙地商圈、丰乐生活广场商圈等商圈或大型社区）。</w:t>
      </w:r>
    </w:p>
    <w:p>
      <w:pPr>
        <w:pStyle w:val="null3"/>
        <w:ind w:firstLine="480"/>
        <w:jc w:val="both"/>
      </w:pPr>
      <w:r>
        <w:rPr>
          <w:sz w:val="24"/>
        </w:rPr>
        <w:t>（3）每个候车亭站点灯箱广告投放不超过2块(含2块)，正反两面，每面尺寸不低于3.5M*1.5M。</w:t>
      </w:r>
    </w:p>
    <w:tbl>
      <w:tblPr>
        <w:tblW w:w="0" w:type="auto"/>
        <w:tblBorders>
          <w:top w:val="none" w:color="000000" w:sz="4"/>
          <w:left w:val="none" w:color="000000" w:sz="4"/>
          <w:bottom w:val="none" w:color="000000" w:sz="4"/>
          <w:right w:val="none" w:color="000000" w:sz="4"/>
          <w:insideH w:val="none"/>
          <w:insideV w:val="none"/>
        </w:tblBorders>
      </w:tblPr>
      <w:tblGrid>
        <w:gridCol w:w="685"/>
        <w:gridCol w:w="685"/>
        <w:gridCol w:w="942"/>
        <w:gridCol w:w="1113"/>
        <w:gridCol w:w="1113"/>
        <w:gridCol w:w="1198"/>
        <w:gridCol w:w="2568"/>
      </w:tblGrid>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城市</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投放</w:t>
            </w:r>
          </w:p>
          <w:p>
            <w:pPr>
              <w:pStyle w:val="null3"/>
              <w:jc w:val="center"/>
            </w:pPr>
            <w:r>
              <w:rPr>
                <w:sz w:val="24"/>
              </w:rPr>
              <w:t>数量</w:t>
            </w:r>
          </w:p>
          <w:p>
            <w:pPr>
              <w:pStyle w:val="null3"/>
              <w:jc w:val="center"/>
            </w:pPr>
            <w:r>
              <w:rPr>
                <w:sz w:val="24"/>
              </w:rPr>
              <w:t>(块)</w:t>
            </w:r>
          </w:p>
        </w:tc>
        <w:tc>
          <w:tcPr>
            <w:tcW w:type="dxa" w:w="2226"/>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区域</w:t>
            </w:r>
          </w:p>
        </w:tc>
        <w:tc>
          <w:tcPr>
            <w:tcW w:type="dxa" w:w="11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占比</w:t>
            </w:r>
          </w:p>
        </w:tc>
        <w:tc>
          <w:tcPr>
            <w:tcW w:type="dxa" w:w="25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主要路段</w:t>
            </w:r>
          </w:p>
        </w:tc>
      </w:tr>
      <w:tr>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w:t>
            </w:r>
          </w:p>
        </w:tc>
        <w:tc>
          <w:tcPr>
            <w:tcW w:type="dxa" w:w="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22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越秀区</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东风路、吉祥路、中山路、环市路、解放路</w:t>
            </w:r>
          </w:p>
        </w:tc>
      </w:tr>
      <w:tr>
        <w:tc>
          <w:tcPr>
            <w:tcW w:type="dxa" w:w="685"/>
            <w:vMerge/>
            <w:tcBorders>
              <w:top w:val="none" w:color="000000" w:sz="4"/>
              <w:left w:val="singl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11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其他区</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天河区</w:t>
            </w:r>
          </w:p>
        </w:tc>
        <w:tc>
          <w:tcPr>
            <w:tcW w:type="dxa" w:w="1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黄埔大道、中山大道、广州大道、临江大道、花城大道（马场路、车陂路、体育中心）</w:t>
            </w:r>
          </w:p>
        </w:tc>
      </w:tr>
      <w:tr>
        <w:tc>
          <w:tcPr>
            <w:tcW w:type="dxa" w:w="685"/>
            <w:vMerge/>
            <w:tcBorders>
              <w:top w:val="none" w:color="000000" w:sz="4"/>
              <w:left w:val="singl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1113"/>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海珠区</w:t>
            </w:r>
          </w:p>
        </w:tc>
        <w:tc>
          <w:tcPr>
            <w:tcW w:type="dxa" w:w="1198"/>
            <w:vMerge/>
            <w:tcBorders>
              <w:top w:val="none" w:color="000000" w:sz="4"/>
              <w:left w:val="none" w:color="000000" w:sz="4"/>
              <w:bottom w:val="single" w:color="000000" w:sz="4"/>
              <w:right w:val="single" w:color="000000" w:sz="4"/>
            </w:tcBorders>
          </w:tcP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滨江路、宝岗大道、新港路、工业大道、广州大道南、阅江路</w:t>
            </w:r>
          </w:p>
        </w:tc>
      </w:tr>
      <w:tr>
        <w:tc>
          <w:tcPr>
            <w:tcW w:type="dxa" w:w="685"/>
            <w:vMerge/>
            <w:tcBorders>
              <w:top w:val="none" w:color="000000" w:sz="4"/>
              <w:left w:val="singl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1113"/>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荔湾区</w:t>
            </w:r>
          </w:p>
        </w:tc>
        <w:tc>
          <w:tcPr>
            <w:tcW w:type="dxa" w:w="1198"/>
            <w:vMerge/>
            <w:tcBorders>
              <w:top w:val="none" w:color="000000" w:sz="4"/>
              <w:left w:val="none" w:color="000000" w:sz="4"/>
              <w:bottom w:val="single" w:color="000000" w:sz="4"/>
              <w:right w:val="single" w:color="000000" w:sz="4"/>
            </w:tcBorders>
          </w:tcP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人民路、中山路、黄沙、芳村大道、花地大道</w:t>
            </w:r>
          </w:p>
        </w:tc>
      </w:tr>
      <w:tr>
        <w:tc>
          <w:tcPr>
            <w:tcW w:type="dxa" w:w="685"/>
            <w:vMerge/>
            <w:tcBorders>
              <w:top w:val="none" w:color="000000" w:sz="4"/>
              <w:left w:val="singl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1113"/>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白云区</w:t>
            </w:r>
          </w:p>
        </w:tc>
        <w:tc>
          <w:tcPr>
            <w:tcW w:type="dxa" w:w="1198"/>
            <w:vMerge/>
            <w:tcBorders>
              <w:top w:val="none" w:color="000000" w:sz="4"/>
              <w:left w:val="none" w:color="000000" w:sz="4"/>
              <w:bottom w:val="single" w:color="000000" w:sz="4"/>
              <w:right w:val="single" w:color="000000" w:sz="4"/>
            </w:tcBorders>
          </w:tcP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广园路、黄石路、三元里大道（云城西路）、金沙洲</w:t>
            </w:r>
          </w:p>
        </w:tc>
      </w:tr>
      <w:tr>
        <w:tc>
          <w:tcPr>
            <w:tcW w:type="dxa" w:w="685"/>
            <w:vMerge/>
            <w:tcBorders>
              <w:top w:val="none" w:color="000000" w:sz="4"/>
              <w:left w:val="singl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1113"/>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w:t>
            </w:r>
          </w:p>
        </w:tc>
        <w:tc>
          <w:tcPr>
            <w:tcW w:type="dxa" w:w="1198"/>
            <w:vMerge/>
            <w:tcBorders>
              <w:top w:val="none" w:color="000000" w:sz="4"/>
              <w:left w:val="none" w:color="000000" w:sz="4"/>
              <w:bottom w:val="single" w:color="000000" w:sz="4"/>
              <w:right w:val="single" w:color="000000" w:sz="4"/>
            </w:tcBorders>
          </w:tcP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大学城、广州南站石山大道</w:t>
            </w:r>
          </w:p>
        </w:tc>
      </w:tr>
      <w:tr>
        <w:tc>
          <w:tcPr>
            <w:tcW w:type="dxa" w:w="685"/>
            <w:vMerge/>
            <w:tcBorders>
              <w:top w:val="none" w:color="000000" w:sz="4"/>
              <w:left w:val="singl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1113"/>
            <w:vMerge/>
            <w:tcBorders>
              <w:top w:val="non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黄埔区</w:t>
            </w:r>
          </w:p>
        </w:tc>
        <w:tc>
          <w:tcPr>
            <w:tcW w:type="dxa" w:w="1198"/>
            <w:vMerge/>
            <w:tcBorders>
              <w:top w:val="none" w:color="000000" w:sz="4"/>
              <w:left w:val="none" w:color="000000" w:sz="4"/>
              <w:bottom w:val="single" w:color="000000" w:sz="4"/>
              <w:right w:val="single" w:color="000000" w:sz="4"/>
            </w:tcBorders>
          </w:tcPr>
          <w:p/>
        </w:tc>
        <w:tc>
          <w:tcPr>
            <w:tcW w:type="dxa" w:w="2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大沙地、丰乐路、文冲市场、鱼珠码头</w:t>
            </w:r>
          </w:p>
        </w:tc>
      </w:tr>
    </w:tbl>
    <w:p>
      <w:pPr>
        <w:pStyle w:val="null3"/>
        <w:ind w:firstLine="480"/>
        <w:jc w:val="both"/>
      </w:pPr>
      <w:r>
        <w:rPr>
          <w:sz w:val="24"/>
        </w:rPr>
        <w:t>（四）投放周期： 投放计划分为4个周期（每2周为一个周期，共8周），结合甲方的营销、公益宣传进行配套宣传投放。每一周期投放数量100块，且满足本条第（三）项的要求。</w:t>
      </w:r>
    </w:p>
    <w:p>
      <w:pPr>
        <w:pStyle w:val="null3"/>
        <w:ind w:firstLine="480"/>
        <w:jc w:val="both"/>
      </w:pPr>
      <w:r>
        <w:rPr>
          <w:sz w:val="24"/>
        </w:rPr>
        <w:t>（五）在每个周期广告投放前，乙方需要把满足本条第（三）项要求的候车亭相关信息（例如站点的具体位置、数量等）报甲方审核，甲方有权根据宣传的需要对候车亭的具体位置进行调整。乙方按照经甲方审核确认后的候车亭进行广告的投放。</w:t>
      </w:r>
    </w:p>
    <w:p>
      <w:pPr>
        <w:pStyle w:val="null3"/>
        <w:ind w:firstLine="482"/>
        <w:jc w:val="both"/>
      </w:pPr>
      <w:r>
        <w:rPr>
          <w:sz w:val="24"/>
          <w:b/>
        </w:rPr>
        <w:t>二、合同总金额及支付方式</w:t>
      </w:r>
    </w:p>
    <w:p>
      <w:pPr>
        <w:pStyle w:val="null3"/>
        <w:ind w:firstLine="480"/>
        <w:jc w:val="both"/>
      </w:pPr>
      <w:r>
        <w:rPr>
          <w:sz w:val="24"/>
        </w:rPr>
        <w:t>（一）合同总金额：小写:￥</w:t>
      </w:r>
      <w:r>
        <w:rPr>
          <w:sz w:val="24"/>
          <w:u w:val="single"/>
        </w:rPr>
        <w:t xml:space="preserve">          </w:t>
      </w:r>
      <w:r>
        <w:rPr>
          <w:sz w:val="24"/>
        </w:rPr>
        <w:t>元；大写:人民币</w:t>
      </w:r>
      <w:r>
        <w:rPr>
          <w:sz w:val="24"/>
          <w:u w:val="single"/>
        </w:rPr>
        <w:t xml:space="preserve">        </w:t>
      </w:r>
      <w:r>
        <w:rPr>
          <w:sz w:val="24"/>
        </w:rPr>
        <w:t>元整，即每个周期的发布费用为小写:￥</w:t>
      </w:r>
      <w:r>
        <w:rPr>
          <w:sz w:val="24"/>
          <w:u w:val="single"/>
        </w:rPr>
        <w:t xml:space="preserve">          </w:t>
      </w:r>
      <w:r>
        <w:rPr>
          <w:sz w:val="24"/>
        </w:rPr>
        <w:t>元；大写:人民币</w:t>
      </w:r>
      <w:r>
        <w:rPr>
          <w:sz w:val="24"/>
          <w:u w:val="single"/>
        </w:rPr>
        <w:t xml:space="preserve">        </w:t>
      </w:r>
      <w:r>
        <w:rPr>
          <w:sz w:val="24"/>
        </w:rPr>
        <w:t>元整。包含但不限于人员薪酬（包括工资、奖金、福利、社保、保险、服装、劳保用品等）、广告位使用费、广告发布费及广告审批费、材料费、设计费、制作费、运输费、安装费、监测费、税金、发布费、水电费、广告维护费及税费等乙方为履行本合同所有不可预见费用，甲方不再支付其他任何费用。</w:t>
      </w:r>
    </w:p>
    <w:p>
      <w:pPr>
        <w:pStyle w:val="null3"/>
        <w:ind w:firstLine="480"/>
        <w:jc w:val="both"/>
      </w:pPr>
      <w:r>
        <w:rPr>
          <w:sz w:val="24"/>
        </w:rPr>
        <w:t>（二）支付方式：</w:t>
      </w:r>
    </w:p>
    <w:p>
      <w:pPr>
        <w:pStyle w:val="null3"/>
        <w:ind w:firstLine="480"/>
        <w:jc w:val="both"/>
      </w:pPr>
      <w:r>
        <w:rPr>
          <w:sz w:val="24"/>
        </w:rPr>
        <w:t>合同总金额分四次支付，在本合同签订之日起5个工作日内，甲方向乙方支付合同总金额的30%，小写:￥</w:t>
      </w:r>
      <w:r>
        <w:rPr>
          <w:sz w:val="24"/>
          <w:u w:val="single"/>
        </w:rPr>
        <w:t xml:space="preserve">          </w:t>
      </w:r>
      <w:r>
        <w:rPr>
          <w:sz w:val="24"/>
        </w:rPr>
        <w:t>元；大写:人民币</w:t>
      </w:r>
      <w:r>
        <w:rPr>
          <w:sz w:val="24"/>
          <w:u w:val="single"/>
        </w:rPr>
        <w:t xml:space="preserve">        </w:t>
      </w:r>
      <w:r>
        <w:rPr>
          <w:sz w:val="24"/>
        </w:rPr>
        <w:t>元整；在完成投放第二期广告并经甲方确认验收报告合格后10个工作日内，甲方向乙方支付合同总金额的20%，小写:￥</w:t>
      </w:r>
      <w:r>
        <w:rPr>
          <w:sz w:val="24"/>
          <w:u w:val="single"/>
        </w:rPr>
        <w:t xml:space="preserve">          </w:t>
      </w:r>
      <w:r>
        <w:rPr>
          <w:sz w:val="24"/>
        </w:rPr>
        <w:t>元；大写:人民币</w:t>
      </w:r>
      <w:r>
        <w:rPr>
          <w:sz w:val="24"/>
          <w:u w:val="single"/>
        </w:rPr>
        <w:t xml:space="preserve">        </w:t>
      </w:r>
      <w:r>
        <w:rPr>
          <w:sz w:val="24"/>
        </w:rPr>
        <w:t>元整，在完成投放第三期广告并经甲方确认验收报告合格后10个工作日内，甲方向乙方支付合同总金额的30%，小写:￥</w:t>
      </w:r>
      <w:r>
        <w:rPr>
          <w:sz w:val="24"/>
          <w:u w:val="single"/>
        </w:rPr>
        <w:t xml:space="preserve">          </w:t>
      </w:r>
      <w:r>
        <w:rPr>
          <w:sz w:val="24"/>
        </w:rPr>
        <w:t>元；大写:人民币</w:t>
      </w:r>
      <w:r>
        <w:rPr>
          <w:sz w:val="24"/>
          <w:u w:val="single"/>
        </w:rPr>
        <w:t xml:space="preserve">        </w:t>
      </w:r>
      <w:r>
        <w:rPr>
          <w:sz w:val="24"/>
        </w:rPr>
        <w:t>元整；在完成投放第四期广告并经甲方确认验收报告合格后10个工作日内，甲方向乙方支付合同总金额的20%，小写:￥</w:t>
      </w:r>
      <w:r>
        <w:rPr>
          <w:sz w:val="24"/>
          <w:u w:val="single"/>
        </w:rPr>
        <w:t xml:space="preserve">          </w:t>
      </w:r>
      <w:r>
        <w:rPr>
          <w:sz w:val="24"/>
        </w:rPr>
        <w:t>元；大写:人民币</w:t>
      </w:r>
      <w:r>
        <w:rPr>
          <w:sz w:val="24"/>
          <w:u w:val="single"/>
        </w:rPr>
        <w:t xml:space="preserve">        </w:t>
      </w:r>
      <w:r>
        <w:rPr>
          <w:sz w:val="24"/>
        </w:rPr>
        <w:t>元整。</w:t>
      </w:r>
    </w:p>
    <w:p>
      <w:pPr>
        <w:pStyle w:val="null3"/>
        <w:ind w:firstLine="480"/>
        <w:jc w:val="both"/>
      </w:pPr>
      <w:r>
        <w:rPr>
          <w:sz w:val="24"/>
        </w:rPr>
        <w:t>（三）甲方通过银行转账的方式支付合同费用，乙方在收款前需向甲方出具等额、合法、有效且符合甲方财务要求的正式普通发票。乙方怠于提供发票，甲方有权顺延付款期限直至收到乙方的发票，乙方不得据此怠于履行任何一项或几项合同义务。</w:t>
      </w:r>
    </w:p>
    <w:p>
      <w:pPr>
        <w:pStyle w:val="null3"/>
        <w:ind w:firstLine="480"/>
        <w:jc w:val="both"/>
      </w:pPr>
      <w:r>
        <w:rPr>
          <w:sz w:val="24"/>
        </w:rPr>
        <w:t>（四）甲方开票信息</w:t>
      </w:r>
    </w:p>
    <w:p>
      <w:pPr>
        <w:pStyle w:val="null3"/>
        <w:ind w:firstLine="480"/>
        <w:jc w:val="both"/>
      </w:pPr>
      <w:r>
        <w:rPr>
          <w:sz w:val="24"/>
        </w:rPr>
        <w:t>开票名称：</w:t>
      </w:r>
      <w:r>
        <w:rPr>
          <w:sz w:val="24"/>
          <w:u w:val="single"/>
        </w:rPr>
        <w:t xml:space="preserve">广东省福利彩票发行中心    </w:t>
      </w:r>
      <w:r>
        <w:rPr>
          <w:sz w:val="24"/>
        </w:rPr>
        <w:t xml:space="preserve">    </w:t>
      </w:r>
    </w:p>
    <w:p>
      <w:pPr>
        <w:pStyle w:val="null3"/>
        <w:ind w:firstLine="480"/>
        <w:jc w:val="both"/>
      </w:pPr>
      <w:r>
        <w:rPr>
          <w:sz w:val="24"/>
        </w:rPr>
        <w:t>纳税人识别号：</w:t>
      </w:r>
      <w:r>
        <w:rPr>
          <w:sz w:val="24"/>
          <w:u w:val="single"/>
        </w:rPr>
        <w:t xml:space="preserve">12440000G184660165    </w:t>
      </w:r>
      <w:r>
        <w:rPr>
          <w:sz w:val="24"/>
        </w:rPr>
        <w:t xml:space="preserve">  </w:t>
      </w:r>
    </w:p>
    <w:p>
      <w:pPr>
        <w:pStyle w:val="null3"/>
        <w:ind w:firstLine="480"/>
        <w:jc w:val="both"/>
      </w:pPr>
      <w:r>
        <w:rPr>
          <w:sz w:val="24"/>
        </w:rPr>
        <w:t>开户银行：</w:t>
      </w:r>
      <w:r>
        <w:rPr>
          <w:sz w:val="24"/>
          <w:u w:val="single"/>
        </w:rPr>
        <w:t xml:space="preserve">光大银行广州东风支行      </w:t>
      </w:r>
      <w:r>
        <w:rPr>
          <w:sz w:val="24"/>
        </w:rPr>
        <w:t xml:space="preserve">   </w:t>
      </w:r>
    </w:p>
    <w:p>
      <w:pPr>
        <w:pStyle w:val="null3"/>
        <w:ind w:firstLine="480"/>
        <w:jc w:val="both"/>
      </w:pPr>
      <w:r>
        <w:rPr>
          <w:sz w:val="24"/>
        </w:rPr>
        <w:t>银行账号：</w:t>
      </w:r>
      <w:r>
        <w:rPr>
          <w:sz w:val="24"/>
          <w:u w:val="single"/>
        </w:rPr>
        <w:t xml:space="preserve">7790 0188 0001 01757      </w:t>
      </w:r>
    </w:p>
    <w:p>
      <w:pPr>
        <w:pStyle w:val="null3"/>
        <w:ind w:firstLine="480"/>
        <w:jc w:val="both"/>
      </w:pPr>
      <w:r>
        <w:rPr>
          <w:sz w:val="24"/>
        </w:rPr>
        <w:t>（五）乙方账户信息：</w:t>
      </w:r>
    </w:p>
    <w:p>
      <w:pPr>
        <w:pStyle w:val="null3"/>
        <w:ind w:firstLine="480"/>
        <w:jc w:val="both"/>
      </w:pPr>
      <w:r>
        <w:rPr>
          <w:sz w:val="24"/>
        </w:rPr>
        <w:t>开户银行：</w:t>
      </w:r>
      <w:r>
        <w:rPr>
          <w:sz w:val="24"/>
          <w:u w:val="single"/>
        </w:rPr>
        <w:t xml:space="preserve">                          </w:t>
      </w:r>
    </w:p>
    <w:p>
      <w:pPr>
        <w:pStyle w:val="null3"/>
        <w:ind w:firstLine="480"/>
        <w:jc w:val="both"/>
      </w:pPr>
      <w:r>
        <w:rPr>
          <w:sz w:val="24"/>
        </w:rPr>
        <w:t>户    名：</w:t>
      </w:r>
      <w:r>
        <w:rPr>
          <w:sz w:val="24"/>
          <w:u w:val="single"/>
        </w:rPr>
        <w:t xml:space="preserve">                          </w:t>
      </w:r>
    </w:p>
    <w:p>
      <w:pPr>
        <w:pStyle w:val="null3"/>
        <w:ind w:firstLine="480"/>
        <w:jc w:val="both"/>
      </w:pPr>
      <w:r>
        <w:rPr>
          <w:sz w:val="24"/>
        </w:rPr>
        <w:t>帐    号：</w:t>
      </w:r>
      <w:r>
        <w:rPr>
          <w:sz w:val="24"/>
          <w:u w:val="single"/>
        </w:rPr>
        <w:t xml:space="preserve">                           </w:t>
      </w:r>
    </w:p>
    <w:p>
      <w:pPr>
        <w:pStyle w:val="null3"/>
        <w:ind w:firstLine="480"/>
        <w:jc w:val="both"/>
      </w:pPr>
      <w:r>
        <w:rPr>
          <w:sz w:val="24"/>
        </w:rPr>
        <w:t>（六）甲方有权直接从对乙方的应付未付款中，对乙方应当承担的包括但不限于违约金、损害赔偿金等一切款项进行抵扣。</w:t>
      </w:r>
    </w:p>
    <w:p>
      <w:pPr>
        <w:pStyle w:val="null3"/>
        <w:ind w:firstLine="482"/>
        <w:jc w:val="both"/>
      </w:pPr>
      <w:r>
        <w:rPr>
          <w:sz w:val="24"/>
          <w:b/>
        </w:rPr>
        <w:t>三、甲方权利与义务</w:t>
      </w:r>
    </w:p>
    <w:p>
      <w:pPr>
        <w:pStyle w:val="null3"/>
        <w:ind w:firstLine="482"/>
        <w:jc w:val="both"/>
      </w:pPr>
      <w:r>
        <w:rPr>
          <w:sz w:val="24"/>
        </w:rPr>
        <w:t>（一）甲方在首次上画或后续需要变更广告内容时，应提前</w:t>
      </w:r>
      <w:r>
        <w:rPr>
          <w:sz w:val="24"/>
          <w:u w:val="single"/>
        </w:rPr>
        <w:t xml:space="preserve"> 7 </w:t>
      </w:r>
      <w:r>
        <w:rPr>
          <w:sz w:val="24"/>
        </w:rPr>
        <w:t>个自然日向乙方提供用于制作广告的原始资料（以下称“广告素材”），并交由乙方进行投放前的广告发布审批、制作和更换等工作。</w:t>
      </w:r>
    </w:p>
    <w:p>
      <w:pPr>
        <w:pStyle w:val="null3"/>
        <w:ind w:firstLine="482"/>
        <w:jc w:val="both"/>
      </w:pPr>
      <w:r>
        <w:rPr>
          <w:sz w:val="24"/>
        </w:rPr>
        <w:t>（二）甲方有权对乙方制作的广告提出修改意见，乙方应在</w:t>
      </w:r>
      <w:r>
        <w:rPr>
          <w:sz w:val="24"/>
          <w:u w:val="single"/>
        </w:rPr>
        <w:t xml:space="preserve"> 2  </w:t>
      </w:r>
      <w:r>
        <w:rPr>
          <w:sz w:val="24"/>
        </w:rPr>
        <w:t>个工作日内向甲方反馈修改稿，在广告上画前须交甲方签字确认后方可发布。</w:t>
      </w:r>
    </w:p>
    <w:p>
      <w:pPr>
        <w:pStyle w:val="null3"/>
        <w:ind w:firstLine="482"/>
        <w:jc w:val="both"/>
      </w:pPr>
      <w:r>
        <w:rPr>
          <w:sz w:val="24"/>
        </w:rPr>
        <w:t>（三）甲方应保证其提供的广告素材的真实性和合法性，且该广告素材不存在违反任何法律法规或侵犯任何第三方的合法权益（包括但不限于知识产权），以及违反国家政策等情形。</w:t>
      </w:r>
    </w:p>
    <w:p>
      <w:pPr>
        <w:pStyle w:val="null3"/>
        <w:ind w:firstLine="482"/>
        <w:jc w:val="both"/>
      </w:pPr>
      <w:r>
        <w:rPr>
          <w:sz w:val="24"/>
        </w:rPr>
        <w:t>（四）甲方负责提供发布广告内容所需的报批资料，根据项目需要包括但不限于：《事业单位法人证》复印件（盖章）、确认广告内容真实性的其它证明文件。甲方承诺其提供的上述文件和资料真实、合法、有效，不违反法律规定，未侵犯他人的民事权利。</w:t>
      </w:r>
    </w:p>
    <w:p>
      <w:pPr>
        <w:pStyle w:val="null3"/>
        <w:ind w:firstLine="482"/>
        <w:jc w:val="both"/>
      </w:pPr>
      <w:r>
        <w:rPr>
          <w:sz w:val="24"/>
        </w:rPr>
        <w:t>（五）在合同期内，甲方有权指定广告的具体发布日期、周期、数量和内容。</w:t>
      </w:r>
    </w:p>
    <w:p>
      <w:pPr>
        <w:pStyle w:val="null3"/>
        <w:ind w:firstLine="482"/>
        <w:jc w:val="both"/>
      </w:pPr>
      <w:r>
        <w:rPr>
          <w:sz w:val="24"/>
        </w:rPr>
        <w:t>（六）在合同期内，甲方有权对发布广告进行现场验收或广告发布期内的抽验。</w:t>
      </w:r>
    </w:p>
    <w:p>
      <w:pPr>
        <w:pStyle w:val="null3"/>
        <w:ind w:firstLine="482"/>
        <w:jc w:val="both"/>
      </w:pPr>
      <w:r>
        <w:rPr>
          <w:sz w:val="24"/>
        </w:rPr>
        <w:t>（七）如有错漏发布/投放甲方广告内容，甲方可以在广告发布（投放）后向乙方提出书面异议。</w:t>
      </w:r>
    </w:p>
    <w:p>
      <w:pPr>
        <w:pStyle w:val="null3"/>
        <w:ind w:firstLine="482"/>
        <w:jc w:val="both"/>
      </w:pPr>
      <w:r>
        <w:rPr>
          <w:sz w:val="24"/>
        </w:rPr>
        <w:t>（八）甲方按照合同约定如期支付合同费用。</w:t>
      </w:r>
    </w:p>
    <w:p>
      <w:pPr>
        <w:pStyle w:val="null3"/>
        <w:ind w:firstLine="482"/>
        <w:jc w:val="both"/>
      </w:pPr>
      <w:r>
        <w:rPr>
          <w:sz w:val="24"/>
          <w:b/>
        </w:rPr>
        <w:t>四、乙方权利与义务</w:t>
      </w:r>
    </w:p>
    <w:p>
      <w:pPr>
        <w:pStyle w:val="null3"/>
        <w:ind w:firstLine="482"/>
        <w:jc w:val="both"/>
      </w:pPr>
      <w:r>
        <w:rPr>
          <w:sz w:val="24"/>
        </w:rPr>
        <w:t>（一）广告素材由甲方提供，乙方收到甲方提供的广告素材之日起</w:t>
      </w:r>
      <w:r>
        <w:rPr>
          <w:sz w:val="24"/>
          <w:u w:val="single"/>
        </w:rPr>
        <w:t xml:space="preserve">   </w:t>
      </w:r>
      <w:r>
        <w:rPr>
          <w:sz w:val="24"/>
        </w:rPr>
        <w:t>个日内完成广告的设计、制作、修改和定稿，甲方提出修改意见的，乙方应于</w:t>
      </w:r>
      <w:r>
        <w:rPr>
          <w:sz w:val="24"/>
          <w:u w:val="single"/>
        </w:rPr>
        <w:t xml:space="preserve">   </w:t>
      </w:r>
      <w:r>
        <w:rPr>
          <w:sz w:val="24"/>
        </w:rPr>
        <w:t>个工作日内反馈修改稿交予甲方审核。乙方保证所制作和发布的广告内容不存在违反任何法律法规或侵犯任何第三方的合法权益（包括但不限于知识产权），以及违反国家政策等情形，否则相关责任均由乙方承担。如甲方因此遭受损失，乙方应予以全额赔偿。甲方对广告的审核同意，不免除乙方应当对广告内容承担的责任。乙方须按甲方提供的广告素材及要求设计制作，在广告上画前须交甲方书面确认后方可发布。</w:t>
      </w:r>
    </w:p>
    <w:p>
      <w:pPr>
        <w:pStyle w:val="null3"/>
        <w:ind w:firstLine="482"/>
        <w:jc w:val="both"/>
      </w:pPr>
      <w:r>
        <w:rPr>
          <w:sz w:val="24"/>
        </w:rPr>
        <w:t>（二）经甲方审核同意后，由乙方办理广告发布的登记/备案手续，在广告上画前须交甲方代表签字确认后方可发布，乙方须在甲方规定时间内完成全部广告画面的发布工作。</w:t>
      </w:r>
    </w:p>
    <w:p>
      <w:pPr>
        <w:pStyle w:val="null3"/>
        <w:ind w:firstLine="482"/>
        <w:jc w:val="both"/>
      </w:pPr>
      <w:r>
        <w:rPr>
          <w:sz w:val="24"/>
        </w:rPr>
        <w:t>（三）在合同期内，乙方须按照甲方要求安排广告的发布日期、周期、数量和内容。</w:t>
      </w:r>
    </w:p>
    <w:p>
      <w:pPr>
        <w:pStyle w:val="null3"/>
        <w:ind w:firstLine="482"/>
        <w:jc w:val="both"/>
      </w:pPr>
      <w:r>
        <w:rPr>
          <w:sz w:val="24"/>
        </w:rPr>
        <w:t>（四）乙方须配合甲方对发布广告的现场验收或广告发布期内的抽验工作。</w:t>
      </w:r>
    </w:p>
    <w:p>
      <w:pPr>
        <w:pStyle w:val="null3"/>
        <w:ind w:firstLine="482"/>
        <w:jc w:val="both"/>
      </w:pPr>
      <w:r>
        <w:rPr>
          <w:sz w:val="24"/>
        </w:rPr>
        <w:t>（五）广告媒体因不可抗力等因素遭到破坏，乙方应重新制作并安装，制作费用、重新安装的相关费用（包括但不限于材料费、设计费、制作费、运输费、安装费、监测费等）等均由乙方承担，甲方不承担任何责任。</w:t>
      </w:r>
    </w:p>
    <w:p>
      <w:pPr>
        <w:pStyle w:val="null3"/>
        <w:ind w:firstLine="482"/>
        <w:jc w:val="both"/>
      </w:pPr>
      <w:r>
        <w:rPr>
          <w:sz w:val="24"/>
        </w:rPr>
        <w:t>（六）服务期间，甲方有权随时、随机的方式要求乙方在指定的时间内提供某一广告屏的实时录屏。</w:t>
      </w:r>
    </w:p>
    <w:p>
      <w:pPr>
        <w:pStyle w:val="null3"/>
        <w:ind w:firstLine="482"/>
        <w:jc w:val="both"/>
      </w:pPr>
      <w:r>
        <w:rPr>
          <w:sz w:val="24"/>
        </w:rPr>
        <w:t>（七）服务期间，甲方代表或甲方委派第三方机构对项目实施情况进行随机抽查，乙方应配合出具关联工作报告及项目执行的证明材料，如乙方所投放的广告未符合要求的，以乙方违约处理。</w:t>
      </w:r>
    </w:p>
    <w:p>
      <w:pPr>
        <w:pStyle w:val="null3"/>
        <w:ind w:firstLine="482"/>
        <w:jc w:val="both"/>
      </w:pPr>
      <w:r>
        <w:rPr>
          <w:sz w:val="24"/>
        </w:rPr>
        <w:t>（八）乙方须按投标文件承诺做好项目巡检工作，并在每次巡检完成后</w:t>
      </w:r>
      <w:r>
        <w:rPr>
          <w:sz w:val="24"/>
          <w:u w:val="single"/>
        </w:rPr>
        <w:t xml:space="preserve">     </w:t>
      </w:r>
      <w:r>
        <w:rPr>
          <w:sz w:val="24"/>
        </w:rPr>
        <w:t>个自然日内向甲方提供项目巡检报告。</w:t>
      </w:r>
    </w:p>
    <w:p>
      <w:pPr>
        <w:pStyle w:val="null3"/>
        <w:ind w:firstLine="482"/>
        <w:jc w:val="both"/>
      </w:pPr>
      <w:r>
        <w:rPr>
          <w:sz w:val="24"/>
        </w:rPr>
        <w:t>（九）在广告发布过程中，抽检人员（甲方代表或甲方委派第三方机构）第一次发现乙方未按甲方要求在乙方承诺投放的媒体发布广告的，甲方将以书面形式对乙方提出警告，乙方按该批次广告发布费用的20%向甲方支付违约金，并须无条件在3日内恢复该媒体的广告投放，承诺在相同的时段顺延发布，每逾期一日，按照本合同总金额的0.03%向甲方支付违约金。抽检人员第二次发现乙方未按甲方要求在乙方承诺投放的媒体发布广告的，甲方将以书面形式对乙方提出警告，乙方按该批次广告发布费用的50%向甲方支付违约金，并须无条件在3日内恢复该媒体的广告投放，承诺在相同的时段顺延发布，每逾期一日，按照本合同总金额的0.03%向甲方支付违约金。抽检人员第三次发现乙方未按甲方要求在乙方承诺投放的媒体发布广告的，甲方将以书面形式对乙方提出警告，乙方按该批次广告发布费用的80%向甲方支付违约金，并须无条件在3日内恢复该媒体的广告投放，承诺在相同的时段顺延发布，每逾期一日，按照本合同总金额的0.03%向甲方支付违约金。抽检人员第四次发现乙方未按甲方要求在乙方承诺投放的媒体发布广告的，甲方有权单方面解除合同，乙方须支付合同总额20%的违约金给甲方。</w:t>
      </w:r>
    </w:p>
    <w:p>
      <w:pPr>
        <w:pStyle w:val="null3"/>
        <w:ind w:firstLine="482"/>
        <w:jc w:val="both"/>
      </w:pPr>
      <w:r>
        <w:rPr>
          <w:sz w:val="24"/>
        </w:rPr>
        <w:t>（十）乙方须按本合同约定刊发甲方的广告，若因乙方的原因单方面中止/终止上刊，每发生一次，乙方须支付合同总额20%的违约金给甲方，并承诺在相同的时段顺延上刊。若甲方对调整延期的上刊时间另有要求的，乙方应当予以配合。</w:t>
      </w:r>
    </w:p>
    <w:p>
      <w:pPr>
        <w:pStyle w:val="null3"/>
        <w:ind w:firstLine="482"/>
        <w:jc w:val="both"/>
      </w:pPr>
      <w:r>
        <w:rPr>
          <w:sz w:val="24"/>
        </w:rPr>
        <w:t>（十一）广告上刊期间，除自然灾害等不可抗力因素及在上刊的过程中如遇政府部门重大宣传任务或突发事件需调整上刊时间外，不得出现漏刊、错刊，如有违反，由乙方负责采取补救措施，并以“漏一补一、错一补一”的原则在相同的时段安排补刊，因此影响的广告发布时间相应顺延。若甲方对调整延期的投放时间另有要求的，乙方应当予以配合。</w:t>
      </w:r>
    </w:p>
    <w:p>
      <w:pPr>
        <w:pStyle w:val="null3"/>
        <w:ind w:firstLine="482"/>
        <w:jc w:val="both"/>
      </w:pPr>
      <w:r>
        <w:rPr>
          <w:sz w:val="24"/>
        </w:rPr>
        <w:t>（十二）乙方须承诺甲方广告发布期间，除不可抗力及政府政策外，不得擅自撤除广告或遮挡广告的任何部分，否则，每发现一次撤除或一处遮挡，按照本合同总金额的0.03%向甲方支付违约金。乙方应在甲方要求的时间内恢复上刊本合同约定的全部广告内容，每逾期一日，按照本合同总金额的0.03 %向甲方支付违约金。</w:t>
      </w:r>
    </w:p>
    <w:p>
      <w:pPr>
        <w:pStyle w:val="null3"/>
        <w:ind w:firstLine="482"/>
        <w:jc w:val="both"/>
      </w:pPr>
      <w:r>
        <w:rPr>
          <w:sz w:val="24"/>
        </w:rPr>
        <w:t>（十三）因不可抗力及政府政策导致投放的广告场地封闭等情况，乙方须以“缺一补一”的方式相应顺延广告发布期限。若甲方对调整延期的投放时间另有要求的，乙方应当予以配合。</w:t>
      </w:r>
    </w:p>
    <w:p>
      <w:pPr>
        <w:pStyle w:val="null3"/>
        <w:ind w:firstLine="482"/>
        <w:jc w:val="both"/>
      </w:pPr>
      <w:r>
        <w:rPr>
          <w:sz w:val="24"/>
        </w:rPr>
        <w:t>（十四）在广告投放期间，如上刊过程中遇到位置需要变动，乙方须在影响广告发布的事件发生后1个工作日内根据采购需求的“在广州市各区繁华路段的候车亭灯箱广告投放福彩营销、公益广告”需求要求，在此范围内调整，并需要书面获得甲方确认，因此影响的广告发布时间相应顺延，并承诺在相同时段发布。若甲方对调整延期的投放时间或投放内容另有要求的，乙方应当予以配合且不得收取任何费用。</w:t>
      </w:r>
    </w:p>
    <w:p>
      <w:pPr>
        <w:pStyle w:val="null3"/>
        <w:ind w:firstLine="482"/>
        <w:jc w:val="both"/>
      </w:pPr>
      <w:r>
        <w:rPr>
          <w:sz w:val="24"/>
        </w:rPr>
        <w:t>（十五）乙方须负责在广告发布期间对广告媒体的日常维护和保养，并承担在广告发布和日常维护期间相关施工人员、维护人员和第三者的安全责任。</w:t>
      </w:r>
    </w:p>
    <w:p>
      <w:pPr>
        <w:pStyle w:val="null3"/>
        <w:ind w:firstLine="482"/>
        <w:jc w:val="both"/>
      </w:pPr>
      <w:r>
        <w:rPr>
          <w:sz w:val="24"/>
        </w:rPr>
        <w:t>（十六）乙方须保证广告载体的正常运行及清洁，并及时进行保养；如广告载体出现运行故障、脏污等影响广告发布效果的情形，乙方应在3个自然日内修复并将修复情况报告甲方，因此影响的广告发布时间相应顺延。若甲方对调整延期的投放时间或投放内容另有要求的，乙方应当予以配合且不得收取任何费用。</w:t>
      </w:r>
    </w:p>
    <w:p>
      <w:pPr>
        <w:pStyle w:val="null3"/>
        <w:ind w:firstLine="482"/>
        <w:jc w:val="both"/>
      </w:pPr>
      <w:r>
        <w:rPr>
          <w:sz w:val="24"/>
        </w:rPr>
        <w:t>（十七）乙方委派到本项目的服务团队人数为</w:t>
      </w:r>
      <w:r>
        <w:rPr>
          <w:sz w:val="24"/>
          <w:u w:val="single"/>
        </w:rPr>
        <w:t xml:space="preserve">    </w:t>
      </w:r>
      <w:r>
        <w:rPr>
          <w:sz w:val="24"/>
        </w:rPr>
        <w:t>人。合同期间，项目团队成员如出现不服从甲方管理或服务质量不到位等情况，甲方有权要求替换服务团队的成员，不低于乙方投标响应时的人员标准。</w:t>
      </w:r>
    </w:p>
    <w:p>
      <w:pPr>
        <w:pStyle w:val="null3"/>
        <w:ind w:firstLine="482"/>
        <w:jc w:val="both"/>
      </w:pPr>
      <w:r>
        <w:rPr>
          <w:sz w:val="24"/>
        </w:rPr>
        <w:t>（十八）甲方抽查发现或者接到人员致电上刊质量存在问题（例如上刊错误或者有损坏等），乙方需在接到甲方通知后30分钟（含）内响应，在__天解决问题，并提供完工的佐证材料（例如照片、视频等）。</w:t>
      </w:r>
    </w:p>
    <w:p>
      <w:pPr>
        <w:pStyle w:val="null3"/>
        <w:ind w:firstLine="482"/>
        <w:jc w:val="both"/>
      </w:pPr>
      <w:r>
        <w:rPr>
          <w:sz w:val="24"/>
        </w:rPr>
        <w:t>（十九）服务期限内，乙方保证享有本项目所需广告媒体的经营权或者代理权，如乙方为代理投放的，须保证享有相应代理权限。</w:t>
      </w:r>
    </w:p>
    <w:p>
      <w:pPr>
        <w:pStyle w:val="null3"/>
        <w:ind w:firstLine="480"/>
        <w:jc w:val="both"/>
      </w:pPr>
      <w:r>
        <w:rPr>
          <w:sz w:val="24"/>
          <w:b/>
        </w:rPr>
        <w:t>五、验收</w:t>
      </w:r>
    </w:p>
    <w:p>
      <w:pPr>
        <w:pStyle w:val="null3"/>
        <w:ind w:firstLine="480"/>
        <w:jc w:val="both"/>
      </w:pPr>
      <w:r>
        <w:rPr>
          <w:sz w:val="24"/>
        </w:rPr>
        <w:t>（一）乙方应在每期广告上刊3个工作日内，提供媒体广告的现场照片作为广告上刊依据。</w:t>
      </w:r>
    </w:p>
    <w:p>
      <w:pPr>
        <w:pStyle w:val="null3"/>
        <w:ind w:firstLine="480"/>
        <w:jc w:val="both"/>
      </w:pPr>
      <w:r>
        <w:rPr>
          <w:sz w:val="24"/>
        </w:rPr>
        <w:t>（二）乙方应在每个发布周期结束后10个自然日内提交该次广告发布总结报告，其内容包括但不限于广告投放数量完成率、信息发布按时完成率、广告投放评估等。同时在服务期内首次上画时须单独制作一条广告投放效果视频（不少于30s）供甲方宣传使用。</w:t>
      </w:r>
    </w:p>
    <w:p>
      <w:pPr>
        <w:pStyle w:val="null3"/>
        <w:ind w:firstLine="480"/>
        <w:jc w:val="both"/>
      </w:pPr>
      <w:r>
        <w:rPr>
          <w:sz w:val="24"/>
        </w:rPr>
        <w:t>（三）在完成项目所有广告投放后的15个工作日内，向甲方出具一份项目总结报告。</w:t>
      </w:r>
    </w:p>
    <w:p>
      <w:pPr>
        <w:pStyle w:val="null3"/>
        <w:ind w:firstLine="480"/>
        <w:jc w:val="both"/>
      </w:pPr>
      <w:r>
        <w:rPr>
          <w:sz w:val="24"/>
        </w:rPr>
        <w:t>（四）甲方验收合格后，双方签订验收报告，作为本项目付款条件。未通过验收的，视为乙方违约，甲方有权要求乙方按照本合同第八条约定的标准支付违约金，乙方还应当按照甲方要求实施整改后再次申请验收。</w:t>
      </w:r>
    </w:p>
    <w:p>
      <w:pPr>
        <w:pStyle w:val="null3"/>
        <w:ind w:firstLine="482"/>
        <w:jc w:val="both"/>
      </w:pPr>
      <w:r>
        <w:rPr>
          <w:sz w:val="24"/>
          <w:b/>
        </w:rPr>
        <w:t>六、保密及知识产权</w:t>
      </w:r>
    </w:p>
    <w:p>
      <w:pPr>
        <w:pStyle w:val="null3"/>
        <w:ind w:firstLine="482"/>
        <w:jc w:val="both"/>
      </w:pPr>
      <w:r>
        <w:rPr>
          <w:sz w:val="24"/>
        </w:rPr>
        <w:t>（一）乙方承诺，对甲方提供的一切资料、信息履行保密义务，未经甲方书面同意，不向任何第三方以及个人泄漏。</w:t>
      </w:r>
    </w:p>
    <w:p>
      <w:pPr>
        <w:pStyle w:val="null3"/>
        <w:ind w:firstLine="482"/>
        <w:jc w:val="both"/>
      </w:pPr>
      <w:r>
        <w:rPr>
          <w:sz w:val="24"/>
        </w:rPr>
        <w:t>（二）甲方提供给乙方的相关资料，其版权归甲方所有，乙方保证只将上述资料用于与本合同约定的传播服务。</w:t>
      </w:r>
    </w:p>
    <w:p>
      <w:pPr>
        <w:pStyle w:val="null3"/>
        <w:ind w:firstLine="482"/>
        <w:jc w:val="both"/>
      </w:pPr>
      <w:r>
        <w:rPr>
          <w:sz w:val="24"/>
        </w:rPr>
        <w:t>（三）乙方根据本合同制作的广告，其版权归甲方所有，乙方应将相应的广告母片拷贝给甲方。</w:t>
      </w:r>
    </w:p>
    <w:p>
      <w:pPr>
        <w:pStyle w:val="null3"/>
        <w:ind w:firstLine="482"/>
        <w:jc w:val="both"/>
      </w:pPr>
      <w:r>
        <w:rPr>
          <w:sz w:val="24"/>
        </w:rPr>
        <w:t>（四）乙方违反本保密及知识产权约定的，泄密造成甲方损失的，应按照合同总价款的10%向甲方支付违约金，承担法律责任和赔偿甲方全部损失；乙方保证其员工遵守本保密及知识产权约定，对员工履行该等义务向甲方承担连带责任。</w:t>
      </w:r>
    </w:p>
    <w:p>
      <w:pPr>
        <w:pStyle w:val="null3"/>
        <w:ind w:firstLine="482"/>
        <w:jc w:val="both"/>
      </w:pPr>
      <w:r>
        <w:rPr>
          <w:sz w:val="24"/>
          <w:b/>
        </w:rPr>
        <w:t>七、不可抗力</w:t>
      </w:r>
    </w:p>
    <w:p>
      <w:pPr>
        <w:pStyle w:val="null3"/>
        <w:ind w:firstLine="480"/>
        <w:jc w:val="both"/>
      </w:pPr>
      <w:r>
        <w:rPr>
          <w:sz w:val="24"/>
        </w:rPr>
        <w:t>（一）合同所指不可抗力，是指合同签订后发生的、不能预见、不能避免并且不能克服的客观情况，其中包括但不限于战争、暴乱、疾病传播、自然灾害、政府政策改变等甲方或乙方不可控制的因素。</w:t>
      </w:r>
    </w:p>
    <w:p>
      <w:pPr>
        <w:pStyle w:val="null3"/>
        <w:ind w:firstLine="480"/>
        <w:jc w:val="both"/>
      </w:pPr>
      <w:r>
        <w:rPr>
          <w:sz w:val="24"/>
        </w:rPr>
        <w:t>（二）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rPr>
        <w:t>（三）甲方或乙方因不可抗力部分或全部迟延或不能履行或不能完全履行其在合同项下义务的,违约方不承担违约责任，但应立即与对方协商解决办法，并及时采取措施减少因不可抗力造成的损失。</w:t>
      </w:r>
    </w:p>
    <w:p>
      <w:pPr>
        <w:pStyle w:val="null3"/>
        <w:ind w:firstLine="480"/>
        <w:jc w:val="both"/>
      </w:pPr>
      <w:r>
        <w:rPr>
          <w:sz w:val="24"/>
        </w:rPr>
        <w:t>（四）因不可抗力造成合同终止的，合同费用由甲乙双方按合同实际履行情况进行结算，多退少补。</w:t>
      </w:r>
    </w:p>
    <w:p>
      <w:pPr>
        <w:pStyle w:val="null3"/>
        <w:ind w:firstLine="482"/>
        <w:jc w:val="both"/>
      </w:pPr>
      <w:r>
        <w:rPr>
          <w:sz w:val="24"/>
          <w:b/>
        </w:rPr>
        <w:t>八、违约责任</w:t>
      </w:r>
    </w:p>
    <w:p>
      <w:pPr>
        <w:pStyle w:val="null3"/>
        <w:ind w:firstLine="482"/>
        <w:jc w:val="both"/>
      </w:pPr>
      <w:r>
        <w:rPr>
          <w:sz w:val="24"/>
        </w:rPr>
        <w:t>（一）本合同签订后，非经另一方同意，任何一方不得随意变更、终止、解除本合同。除非双方另有约定，任何一方违约，违约方除赔偿守约方因履行合同而实际支出的费用及造成的经济损失外，还应该按照合同总金额的20%向守约方支付违约金。</w:t>
      </w:r>
    </w:p>
    <w:p>
      <w:pPr>
        <w:pStyle w:val="null3"/>
        <w:ind w:firstLine="482"/>
        <w:jc w:val="both"/>
      </w:pPr>
      <w:r>
        <w:rPr>
          <w:sz w:val="24"/>
        </w:rPr>
        <w:t>（二）因乙方原因导致甲方解除或者部分解除本合同，乙方应当返还已收取但尚未提供服务部分对应的合同款项；向甲方支付本合同总金额20%的违约金，赔偿因此造成的全部损失（包括但不限于甲方因此提起或遭受诉讼所支付的诉讼费、律师费、保全费、鉴定费等）。</w:t>
      </w:r>
    </w:p>
    <w:p>
      <w:pPr>
        <w:pStyle w:val="null3"/>
        <w:ind w:firstLine="482"/>
        <w:jc w:val="both"/>
      </w:pPr>
      <w:r>
        <w:rPr>
          <w:sz w:val="24"/>
        </w:rPr>
        <w:t>（三）甲方未按照本合同约定向乙方支付费用的，每迟延一日，应按应付未付费用万分之三的标准向乙方支付逾期付款违约金。</w:t>
      </w:r>
    </w:p>
    <w:p>
      <w:pPr>
        <w:pStyle w:val="null3"/>
        <w:ind w:firstLine="482"/>
        <w:jc w:val="both"/>
      </w:pPr>
      <w:r>
        <w:rPr>
          <w:sz w:val="24"/>
        </w:rPr>
        <w:t>（四）其它违约责任按《中华人民共和国民法典》处理。</w:t>
      </w:r>
    </w:p>
    <w:p>
      <w:pPr>
        <w:pStyle w:val="null3"/>
        <w:ind w:firstLine="482"/>
        <w:jc w:val="both"/>
      </w:pPr>
      <w:r>
        <w:rPr>
          <w:sz w:val="24"/>
          <w:b/>
        </w:rPr>
        <w:t>九、争议的解决</w:t>
      </w:r>
    </w:p>
    <w:p>
      <w:pPr>
        <w:pStyle w:val="null3"/>
        <w:ind w:firstLine="482"/>
        <w:jc w:val="both"/>
      </w:pPr>
      <w:r>
        <w:rPr>
          <w:sz w:val="24"/>
        </w:rPr>
        <w:t>（一）凡与本协议有关而引起的一切争议，甲乙双方应首先通过协商解决，如经协商后仍不能达成协议时，任何一方可以向法院提出诉讼。诉讼期间，在法院未作出生效的裁判之前，甲方中止履行相关的支付义务。败诉方应承担胜诉方因此而支出的法律成本，包括但不限于聘请律师的费用、诉讼费、担保费、公证费、鉴定费、交通费、邮寄费、差旅费等。</w:t>
      </w:r>
    </w:p>
    <w:p>
      <w:pPr>
        <w:pStyle w:val="null3"/>
        <w:ind w:firstLine="482"/>
        <w:jc w:val="both"/>
      </w:pPr>
      <w:r>
        <w:rPr>
          <w:sz w:val="24"/>
        </w:rPr>
        <w:t>（二）本协议的诉讼管辖地为广州市越秀区人民法院。</w:t>
      </w:r>
    </w:p>
    <w:p>
      <w:pPr>
        <w:pStyle w:val="null3"/>
        <w:ind w:firstLine="482"/>
        <w:jc w:val="both"/>
      </w:pPr>
      <w:r>
        <w:rPr>
          <w:sz w:val="24"/>
          <w:b/>
        </w:rPr>
        <w:t>十、其它</w:t>
      </w:r>
    </w:p>
    <w:p>
      <w:pPr>
        <w:pStyle w:val="null3"/>
        <w:ind w:firstLine="482"/>
        <w:jc w:val="both"/>
      </w:pPr>
      <w:r>
        <w:rPr>
          <w:sz w:val="24"/>
        </w:rPr>
        <w:t>（一）本合同甲方招标文件要求及乙方投标文件承诺均为合同的有效组成部分，与本合同不一致的，以对乙方履行义务要求更高者为准。</w:t>
      </w:r>
    </w:p>
    <w:p>
      <w:pPr>
        <w:pStyle w:val="null3"/>
        <w:ind w:firstLine="482"/>
        <w:jc w:val="both"/>
      </w:pPr>
      <w:r>
        <w:rPr>
          <w:sz w:val="24"/>
        </w:rPr>
        <w:t>（二）在执行本合同的过程中，所有经双方签署确认的文件（包括会议纪要、补充协议、往来信函）即成为本合同的有效组成部分。</w:t>
      </w:r>
    </w:p>
    <w:p>
      <w:pPr>
        <w:pStyle w:val="null3"/>
        <w:ind w:firstLine="482"/>
        <w:jc w:val="both"/>
      </w:pPr>
      <w:r>
        <w:rPr>
          <w:sz w:val="24"/>
        </w:rPr>
        <w:t>（三）如一方地址、电话有变更，应在变更当日内书面通知对方。</w:t>
      </w:r>
    </w:p>
    <w:p>
      <w:pPr>
        <w:pStyle w:val="null3"/>
        <w:ind w:firstLine="482"/>
        <w:jc w:val="both"/>
      </w:pPr>
      <w:r>
        <w:rPr>
          <w:sz w:val="24"/>
        </w:rPr>
        <w:t>（四）除甲方事先书面同意外，乙方不得部分或全部转让其应履行的合同项下的义务，否则，甲方有权立即解除本合同，要求乙方返还已收取的全部款项，按照本合同约定采购金额总额的20%向甲方支付违约金，承担因此造成的全部损失。在此情形下，乙方如有已经交付的项目成果，甲方无需进行返还。</w:t>
      </w:r>
    </w:p>
    <w:p>
      <w:pPr>
        <w:pStyle w:val="null3"/>
        <w:ind w:firstLine="482"/>
        <w:jc w:val="both"/>
      </w:pPr>
      <w:r>
        <w:rPr>
          <w:sz w:val="24"/>
        </w:rPr>
        <w:t>（五）乙方保证遵守《中华人民共和国民法典》有关规定和《中华人民共和国妇女权益保障法》中关于“劳动和社会保障权益”的有关要求。</w:t>
      </w:r>
    </w:p>
    <w:p>
      <w:pPr>
        <w:pStyle w:val="null3"/>
        <w:ind w:firstLine="482"/>
        <w:jc w:val="both"/>
      </w:pPr>
      <w:r>
        <w:rPr>
          <w:sz w:val="24"/>
          <w:b/>
        </w:rPr>
        <w:t>十一、合同生效</w:t>
      </w:r>
    </w:p>
    <w:p>
      <w:pPr>
        <w:pStyle w:val="null3"/>
        <w:ind w:firstLine="480"/>
        <w:jc w:val="both"/>
      </w:pPr>
      <w:r>
        <w:rPr>
          <w:sz w:val="24"/>
        </w:rPr>
        <w:t>（一）本合同在甲乙双方法人代表或其授权代表签字盖章后生效。</w:t>
      </w:r>
    </w:p>
    <w:p>
      <w:pPr>
        <w:pStyle w:val="null3"/>
        <w:ind w:firstLine="480"/>
        <w:jc w:val="both"/>
      </w:pPr>
      <w:r>
        <w:rPr>
          <w:sz w:val="24"/>
        </w:rPr>
        <w:t>（二）本合同一式陆份，双方各执叁份，具有同等效力。</w:t>
      </w:r>
    </w:p>
    <w:p>
      <w:pPr>
        <w:pStyle w:val="null3"/>
        <w:ind w:firstLine="480"/>
        <w:jc w:val="both"/>
      </w:pPr>
      <w:r>
        <w:rPr/>
        <w:t xml:space="preserve"> </w:t>
      </w:r>
    </w:p>
    <w:p>
      <w:pPr>
        <w:pStyle w:val="null3"/>
        <w:ind w:firstLine="480"/>
        <w:jc w:val="both"/>
      </w:pPr>
      <w:r>
        <w:rPr>
          <w:sz w:val="24"/>
        </w:rPr>
        <w:t>甲方：广东省福利彩票发行中心</w:t>
      </w:r>
    </w:p>
    <w:p>
      <w:pPr>
        <w:pStyle w:val="null3"/>
        <w:ind w:firstLine="480"/>
        <w:jc w:val="both"/>
      </w:pPr>
      <w:r>
        <w:rPr>
          <w:sz w:val="24"/>
        </w:rPr>
        <w:t>（法定代表人或授权代表）：</w:t>
      </w:r>
    </w:p>
    <w:p>
      <w:pPr>
        <w:pStyle w:val="null3"/>
        <w:ind w:firstLine="480"/>
        <w:jc w:val="both"/>
      </w:pPr>
      <w:r>
        <w:rPr>
          <w:sz w:val="24"/>
        </w:rPr>
        <w:t>日期：</w:t>
      </w:r>
    </w:p>
    <w:p>
      <w:pPr>
        <w:pStyle w:val="null3"/>
        <w:ind w:firstLine="480"/>
        <w:jc w:val="both"/>
      </w:pPr>
      <w:r>
        <w:rPr>
          <w:sz w:val="24"/>
        </w:rPr>
        <w:t>乙方：</w:t>
      </w:r>
    </w:p>
    <w:p>
      <w:pPr>
        <w:pStyle w:val="null3"/>
        <w:ind w:firstLine="480"/>
        <w:jc w:val="both"/>
      </w:pPr>
      <w:r>
        <w:rPr>
          <w:sz w:val="24"/>
        </w:rPr>
        <w:t>（法定代表人或授权代表）：</w:t>
      </w:r>
    </w:p>
    <w:p>
      <w:pPr>
        <w:pStyle w:val="null3"/>
        <w:ind w:firstLine="480"/>
        <w:jc w:val="both"/>
      </w:pPr>
      <w:r>
        <w:rPr>
          <w:sz w:val="24"/>
        </w:rPr>
        <w:t>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440001-2024-53430</w:t>
      </w:r>
    </w:p>
    <w:p>
      <w:pPr>
        <w:pStyle w:val="null3"/>
        <w:jc w:val="center"/>
        <w:outlineLvl w:val="3"/>
      </w:pPr>
      <w:r>
        <w:rPr>
          <w:sz w:val="24"/>
          <w:b/>
        </w:rPr>
        <w:t>采购项目编号：</w:t>
      </w:r>
      <w:r>
        <w:rPr>
          <w:sz w:val="24"/>
          <w:b/>
        </w:rPr>
        <w:t>GZCQC2400FG09008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广东福彩广州公交候车亭灯箱广告项目</w:t>
      </w:r>
      <w:r>
        <w:rPr>
          <w:u w:val="single"/>
        </w:rPr>
        <w:t>”</w:t>
      </w:r>
      <w:r>
        <w:rPr/>
        <w:t>项目的招标[采购项目编号为：</w:t>
      </w:r>
      <w:r>
        <w:rPr>
          <w:u w:val="single"/>
        </w:rPr>
        <w:t>GZCQC2400FG09008</w:t>
      </w:r>
      <w:r>
        <w:rPr/>
        <w:t>]，我方愿参与投标。</w:t>
      </w:r>
    </w:p>
    <w:p>
      <w:pPr>
        <w:pStyle w:val="null3"/>
        <w:ind w:firstLine="480"/>
      </w:pPr>
      <w:r>
        <w:rPr/>
        <w:t>我方确认收到贵方提供的</w:t>
      </w:r>
      <w:r>
        <w:rPr>
          <w:u w:val="single"/>
        </w:rPr>
        <w:t>“</w:t>
      </w:r>
      <w:r>
        <w:rPr>
          <w:u w:val="single"/>
        </w:rPr>
        <w:t>广东福彩广州公交候车亭灯箱广告项目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广东福彩广州公交候车亭灯箱广告项目</w:t>
      </w:r>
      <w:r>
        <w:rPr/>
        <w:t>”项目采购[采购项目编号为</w:t>
      </w:r>
      <w:r>
        <w:rPr/>
        <w:t>GZCQC2400FG09008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广东省福利彩票发行中心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广东福彩广州公交候车亭灯箱广告项目</w:t>
      </w:r>
      <w:r>
        <w:rPr/>
        <w:t>招标中获中标（采购项目编号：</w:t>
      </w:r>
      <w:r>
        <w:rPr/>
        <w:t>GZCQC2400FG09008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广东福彩广州公交候车亭灯箱广告项目</w:t>
      </w:r>
      <w:r>
        <w:rPr/>
        <w:t>”项目（采购项目编号：</w:t>
      </w:r>
      <w:r>
        <w:rPr/>
        <w:t>GZCQC2400FG09008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