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440101-2024-19764</w:t>
      </w:r>
    </w:p>
    <w:p>
      <w:pPr>
        <w:pStyle w:val="null3"/>
        <w:jc w:val="center"/>
        <w:outlineLvl w:val="3"/>
      </w:pPr>
      <w:r>
        <w:rPr>
          <w:sz w:val="24"/>
          <w:b/>
        </w:rPr>
        <w:t>采购项目编号：</w:t>
      </w:r>
      <w:r>
        <w:rPr>
          <w:sz w:val="24"/>
          <w:b/>
        </w:rPr>
        <w:t>GZCQC2400FG08008</w:t>
      </w:r>
    </w:p>
    <w:p>
      <w:pPr>
        <w:pStyle w:val="null3"/>
        <w:jc w:val="center"/>
        <w:outlineLvl w:val="3"/>
      </w:pPr>
      <w:r>
        <w:rPr>
          <w:sz w:val="24"/>
          <w:b/>
        </w:rPr>
        <w:t>项目名称：</w:t>
      </w:r>
      <w:r>
        <w:rPr>
          <w:sz w:val="24"/>
          <w:b/>
        </w:rPr>
        <w:t>城维计划-城市设计编制及技术咨询服务（黄埔涌沿岸滨水公共空间设计）</w:t>
      </w:r>
    </w:p>
    <w:p>
      <w:pPr>
        <w:pStyle w:val="null3"/>
        <w:jc w:val="center"/>
        <w:outlineLvl w:val="3"/>
      </w:pPr>
      <w:r>
        <w:rPr>
          <w:sz w:val="24"/>
          <w:b/>
        </w:rPr>
        <w:t>采购人：</w:t>
      </w:r>
      <w:r>
        <w:rPr>
          <w:sz w:val="24"/>
          <w:b/>
        </w:rPr>
        <w:t>广州市规划和自然资源局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w:t>
      </w:r>
      <w:r>
        <w:rPr/>
        <w:t>的委托，采用</w:t>
      </w:r>
      <w:r>
        <w:rPr/>
        <w:t>公开招标</w:t>
      </w:r>
      <w:r>
        <w:rPr/>
        <w:t>方式组织采购</w:t>
      </w:r>
      <w:r>
        <w:rPr/>
        <w:t>城维计划-城市设计编制及技术咨询服务（黄埔涌沿岸滨水公共空间设计）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城维计划-城市设计编制及技术咨询服务（黄埔涌沿岸滨水公共空间设计）</w:t>
      </w:r>
    </w:p>
    <w:p>
      <w:pPr>
        <w:pStyle w:val="null3"/>
        <w:ind w:firstLine="480"/>
      </w:pPr>
      <w:r>
        <w:rPr/>
        <w:t>采购计划编号：</w:t>
      </w:r>
      <w:r>
        <w:rPr/>
        <w:t>440101-2024-19764</w:t>
      </w:r>
    </w:p>
    <w:p>
      <w:pPr>
        <w:pStyle w:val="null3"/>
        <w:ind w:firstLine="480"/>
      </w:pPr>
      <w:r>
        <w:rPr/>
        <w:t>采购项目编号：</w:t>
      </w:r>
      <w:r>
        <w:rPr/>
        <w:t>GZCQC2400FG08008</w:t>
      </w:r>
    </w:p>
    <w:p>
      <w:pPr>
        <w:pStyle w:val="null3"/>
        <w:ind w:firstLine="480"/>
      </w:pPr>
      <w:r>
        <w:rPr/>
        <w:t>采购方式：</w:t>
      </w:r>
      <w:r>
        <w:rPr/>
        <w:t>公开招标</w:t>
      </w:r>
    </w:p>
    <w:p>
      <w:pPr>
        <w:pStyle w:val="null3"/>
        <w:ind w:firstLine="480"/>
      </w:pPr>
      <w:r>
        <w:rPr/>
        <w:t>预算金额：</w:t>
      </w:r>
      <w:r>
        <w:rPr/>
        <w:t>2,200,000.00</w:t>
      </w:r>
      <w:r>
        <w:rPr/>
        <w:t>元</w:t>
      </w:r>
    </w:p>
    <w:p>
      <w:pPr>
        <w:pStyle w:val="null3"/>
        <w:outlineLvl w:val="3"/>
      </w:pPr>
      <w:r>
        <w:rPr>
          <w:sz w:val="24"/>
          <w:b/>
        </w:rPr>
        <w:t>2.项目内容及需求情况（采购项目技术规格、参数及要求）</w:t>
      </w:r>
    </w:p>
    <w:p>
      <w:pPr>
        <w:pStyle w:val="null3"/>
      </w:pPr>
      <w:r>
        <w:rPr/>
        <w:t>采购包1(城维计划-城市设计编制及技术咨询服务（黄埔涌沿岸滨水公共空间设计）):</w:t>
      </w:r>
    </w:p>
    <w:p>
      <w:pPr>
        <w:pStyle w:val="null3"/>
      </w:pPr>
      <w:r>
        <w:rPr/>
        <w:t>采购包预算金额：2,200,000.00元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城维计划-城市设计编制及技术咨询服务（黄埔涌沿岸滨水公共空间设计）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合同履行期限：本项目工作期限为自采购人中标人双方签订合同之日起至2025年12月31日完成。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采购包1（城维计划-城市设计编制及技术咨询服务（黄埔涌沿岸滨水公共空间设计））：</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p>
      <w:pPr>
        <w:pStyle w:val="null3"/>
        <w:outlineLvl w:val="3"/>
      </w:pPr>
      <w:r>
        <w:rPr>
          <w:sz w:val="24"/>
          <w:b/>
        </w:rPr>
        <w:t>3.本项目特定的资格要求：</w:t>
      </w:r>
    </w:p>
    <w:p>
      <w:pPr>
        <w:pStyle w:val="null3"/>
      </w:pPr>
      <w:r>
        <w:rPr/>
        <w:t>采购包1（城维计划-城市设计编制及技术咨询服务（黄埔涌沿岸滨水公共空间设计））：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w:t>
      </w:r>
    </w:p>
    <w:p>
      <w:pPr>
        <w:pStyle w:val="null3"/>
        <w:ind w:firstLine="480"/>
      </w:pPr>
      <w:r>
        <w:rPr/>
        <w:t xml:space="preserve"> 地址：</w:t>
      </w:r>
      <w:r>
        <w:rPr/>
        <w:t>广州市越秀区吉祥路80号</w:t>
      </w:r>
    </w:p>
    <w:p>
      <w:pPr>
        <w:pStyle w:val="null3"/>
        <w:ind w:firstLine="480"/>
      </w:pPr>
      <w:r>
        <w:rPr/>
        <w:t xml:space="preserve"> 联系方式：</w:t>
      </w:r>
      <w:r>
        <w:rPr/>
        <w:t>020-83197105</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（一）投标人须对本项目的采购标的进行整体投标，任何只对本项目采购标的其中一部分内容、数量进行的投标都被视为无效投标。</w:t>
      </w:r>
    </w:p>
    <w:p>
      <w:pPr>
        <w:pStyle w:val="null3"/>
        <w:ind w:firstLine="482"/>
        <w:jc w:val="both"/>
      </w:pPr>
      <w:r>
        <w:rPr>
          <w:sz w:val="24"/>
          <w:b/>
        </w:rPr>
        <w:t>（二）采购项目一览表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3411"/>
        <w:gridCol w:w="1146"/>
        <w:gridCol w:w="3748"/>
      </w:tblGrid>
      <w:tr>
        <w:tc>
          <w:tcPr>
            <w:tcW w:type="dxa" w:w="34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采购标的</w:t>
            </w:r>
          </w:p>
        </w:tc>
        <w:tc>
          <w:tcPr>
            <w:tcW w:type="dxa" w:w="11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37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w:t>
            </w:r>
            <w:r>
              <w:rPr>
                <w:sz w:val="24"/>
                <w:b/>
              </w:rPr>
              <w:t>（人民币  元）</w:t>
            </w:r>
          </w:p>
        </w:tc>
      </w:tr>
      <w:tr>
        <w:tc>
          <w:tcPr>
            <w:tcW w:type="dxa" w:w="3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城维计划-城市设计编制及技术咨询服务（黄埔涌沿岸滨水公共空间设计）</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一项</w:t>
            </w:r>
          </w:p>
        </w:tc>
        <w:tc>
          <w:tcPr>
            <w:tcW w:type="dxa" w:w="3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2,200,000.00（其中2024年预算安排人民币1,100,000.00元，2025年预算拟安排人民币1,100,000.00元，具体以财政局批复下达的资金为准。）</w:t>
            </w:r>
          </w:p>
        </w:tc>
      </w:tr>
    </w:tbl>
    <w:p>
      <w:pPr>
        <w:pStyle w:val="null3"/>
      </w:pPr>
      <w:r>
        <w:rPr/>
        <w:t>采购包1（城维计划-城市设计编制及技术咨询服务（黄埔涌沿岸滨水公共空间设计））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本项目工作期限为自采购人中标人双方签订合同之日起至2025年12月31日完成。</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1期：支付比例50%,项目合同签订后，采购人应在合同签订生效以及具备实施条件后5个工作日内支付合同总金额的50%。预计在2024年11月30日前支付第一期费用。</w:t>
            </w:r>
          </w:p>
          <w:p>
            <w:pPr>
              <w:pStyle w:val="null3"/>
            </w:pPr>
            <w:r>
              <w:rPr/>
              <w:t>2期：支付比例40%,中标人完成中期成果并通过审查后，采购人收到发票后向中标人支付本项目合同总金额的40%。预计在2025年5月31日前支付第二期费用。</w:t>
            </w:r>
          </w:p>
          <w:p>
            <w:pPr>
              <w:pStyle w:val="null3"/>
            </w:pPr>
            <w:r>
              <w:rPr/>
              <w:t>3期：支付比例10%,中标人完成终期成果，经采购人组织验收通过，由采购人出具结题函，完成成果归档后，采购人收到发票后向中标人支付本项目合同总金额的10%。预计在2025年11月30日前支付第三期费用。 注： （1）每次按合同支付款项前，中标人应向采购人提供与支付金额相符的有效发票，且收款方、出具发票方、合同乙方均必须与中标人名称一致。 （2）因采购人使用的是财政资金，采购人在前款规定的付款时间内向支付部门提出办理财政支付申请手续的时间（不含政府财政支付部门审核的时间）即视为采购人已经按期支付，实际付款时间及金额以支付部门支付时间及金额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1期：按以下列标准和方式对中标人的技术服务工作成果进行验收： 1.中标人完成技术服务工作的形式：本项工作采取分阶段评审的方式，采购人负责组织审查工作，并出具审查书面意见。中标人负责提供审查和验收所必需的汇报材料和相关文件。 2.技术服务工作成果的验收标准：工作成果应符合国家、省、市相关法律、法规、条例、政策文件、规范、标准以及本项目采购需求的要求。 3.技术服务工作成果的验收方法：采购人组织验收。 4.验收的时间和地点：由采购人确定。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报价要求，本项目总价报价，凡超过最高限价的投标报价均视为无效报价。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城维计划-城市设计编制及技术咨询服务（黄埔涌沿岸滨水公共空间设计）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2,200,000.00</w:t>
            </w:r>
          </w:p>
        </w:tc>
        <w:tc>
          <w:tcPr>
            <w:tcW w:type="dxa" w:w="933"/>
          </w:tcPr>
          <w:p>
            <w:pPr>
              <w:pStyle w:val="null3"/>
              <w:jc w:val="right"/>
            </w:pPr>
            <w:r>
              <w:rPr/>
              <w:t>2,200,000.00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城维计划-城市设计编制及技术咨询服务（黄埔涌沿岸滨水公共空间设计）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4"/>
                <w:b/>
              </w:rPr>
              <w:t>第一章  总则</w:t>
            </w:r>
          </w:p>
          <w:p>
            <w:pPr>
              <w:pStyle w:val="null3"/>
              <w:ind w:firstLine="482"/>
              <w:jc w:val="both"/>
            </w:pPr>
            <w:r>
              <w:rPr>
                <w:sz w:val="24"/>
                <w:b/>
              </w:rPr>
              <w:t xml:space="preserve">第一条 </w:t>
            </w:r>
            <w:r>
              <w:rPr>
                <w:sz w:val="24"/>
              </w:rPr>
              <w:t>近年来，在碧道建设有力推动下，广州水环境、水安全、水资源等迈上新台阶，市民群众获得感、幸福感和安全感得到极大提升。黄埔涌西起磨碟沙涌口、东至石基河口，与前后航道相通，是连接广州塔、琶洲国际会展中心、黄埔古村、万亩果园等广州多个重要生态、历史、人文资源的都市型河道，是一条串联广州现代辉煌与历史记忆的黄金纽带。为了充分利用治水已取得的成效，把握住琶洲互联网聚集区逐步成形的时机和消费升级的契机，推动黄埔涌水岸联动治理，打造广州多元化的活力城市滨水公共消费空间，推动水文化、水经济蓬勃发展，助力广州打造中国风格岭南特色的世界都市，开展本项目。</w:t>
            </w:r>
          </w:p>
          <w:p>
            <w:pPr>
              <w:pStyle w:val="null3"/>
              <w:ind w:firstLine="482"/>
              <w:jc w:val="both"/>
            </w:pPr>
            <w:r>
              <w:rPr>
                <w:sz w:val="24"/>
                <w:b/>
              </w:rPr>
              <w:t xml:space="preserve">第二条 </w:t>
            </w:r>
            <w:r>
              <w:rPr>
                <w:sz w:val="24"/>
              </w:rPr>
              <w:t>广州市规划和自然资源局作为本次项目甲方，经公开招标后选定中标人作为乙方，接受任务委托，承担本次规划的编制工作。</w:t>
            </w:r>
          </w:p>
          <w:p>
            <w:pPr>
              <w:pStyle w:val="null3"/>
              <w:ind w:firstLine="482"/>
              <w:jc w:val="both"/>
            </w:pPr>
            <w:r>
              <w:rPr>
                <w:sz w:val="24"/>
                <w:b/>
              </w:rPr>
              <w:t xml:space="preserve">第三条 </w:t>
            </w:r>
            <w:r>
              <w:rPr>
                <w:sz w:val="24"/>
              </w:rPr>
              <w:t>本项目规划范围西起磨碟沙涌口、东至石基河口，涉及黄埔涌周边区域，面积约4.8平方公里。</w:t>
            </w:r>
          </w:p>
          <w:p>
            <w:pPr>
              <w:pStyle w:val="null3"/>
              <w:ind w:firstLine="482"/>
              <w:jc w:val="both"/>
            </w:pPr>
            <w:r>
              <w:rPr>
                <w:sz w:val="24"/>
                <w:b/>
              </w:rPr>
              <w:t xml:space="preserve">第四条 </w:t>
            </w:r>
            <w:r>
              <w:rPr>
                <w:sz w:val="24"/>
              </w:rPr>
              <w:t>本项目工作期限为自采购人中标人双方签订合同之日起至2025年12月31日完成。</w:t>
            </w:r>
          </w:p>
          <w:p>
            <w:pPr>
              <w:pStyle w:val="null3"/>
              <w:ind w:firstLine="482"/>
              <w:jc w:val="left"/>
            </w:pPr>
            <w:r>
              <w:rPr>
                <w:sz w:val="24"/>
                <w:b/>
              </w:rPr>
              <w:t xml:space="preserve">第五条 </w:t>
            </w:r>
            <w:r>
              <w:rPr>
                <w:sz w:val="24"/>
              </w:rPr>
              <w:t>承接单位均视为承认本任务书的所有条款，并按规定条款完成本项目工作。</w:t>
            </w:r>
          </w:p>
          <w:p>
            <w:pPr>
              <w:pStyle w:val="null3"/>
              <w:ind w:firstLine="480"/>
              <w:jc w:val="left"/>
            </w:pPr>
          </w:p>
        </w:tc>
      </w:tr>
      <w:tr>
        <w:tc>
          <w:tcPr>
            <w:tcW w:type="dxa" w:w="2076"/>
          </w:tcPr>
          <w:p/>
        </w:tc>
        <w:tc>
          <w:tcPr>
            <w:tcW w:type="dxa" w:w="415"/>
          </w:tcPr>
          <w:p>
            <w:pPr>
              <w:pStyle w:val="null3"/>
            </w:pPr>
            <w:r>
              <w:rPr/>
              <w:t>2</w:t>
            </w:r>
          </w:p>
        </w:tc>
        <w:tc>
          <w:tcPr>
            <w:tcW w:type="dxa" w:w="5814"/>
          </w:tcPr>
          <w:p>
            <w:pPr>
              <w:pStyle w:val="null3"/>
              <w:jc w:val="center"/>
            </w:pPr>
            <w:r>
              <w:rPr>
                <w:sz w:val="24"/>
                <w:b/>
              </w:rPr>
              <w:t>第二章  设计原则</w:t>
            </w:r>
          </w:p>
          <w:p>
            <w:pPr>
              <w:pStyle w:val="null3"/>
              <w:ind w:firstLine="482"/>
              <w:jc w:val="both"/>
            </w:pPr>
            <w:r>
              <w:rPr>
                <w:sz w:val="24"/>
                <w:b/>
              </w:rPr>
              <w:t xml:space="preserve">第六条 </w:t>
            </w:r>
            <w:r>
              <w:rPr>
                <w:sz w:val="24"/>
              </w:rPr>
              <w:t>以人为本，还水于民。践行人民城市人民建、人民城市为人民的理念，研究两岸慢行、公服设施等现状短板，挖掘释放黄埔涌作为广州城市河流的发展优势，实现从“水治理”向“水岸共享”的转变，将沿河空间融入文化、体育、游憩等多种功能，创造多元化的城市滨水公共空间，吸引城市生活回归水岸。</w:t>
            </w:r>
          </w:p>
          <w:p>
            <w:pPr>
              <w:pStyle w:val="null3"/>
              <w:ind w:firstLine="482"/>
              <w:jc w:val="both"/>
            </w:pPr>
            <w:r>
              <w:rPr>
                <w:sz w:val="24"/>
                <w:b/>
              </w:rPr>
              <w:t xml:space="preserve">第七条 </w:t>
            </w:r>
            <w:r>
              <w:rPr>
                <w:sz w:val="24"/>
              </w:rPr>
              <w:t>融合古今，区域协调。重拾黄埔古港、古村的地方记忆，挖掘黄埔涌的河流历史文化，使古村、古港、古涌合一，与沿线的广州电视塔、万亩果园湿地和琶洲国际会展中心交相辉映，将黄埔涌打造成集生态、人文、历史于一体的滨水景观带。</w:t>
            </w:r>
          </w:p>
          <w:p>
            <w:pPr>
              <w:pStyle w:val="null3"/>
              <w:ind w:firstLine="482"/>
              <w:jc w:val="both"/>
            </w:pPr>
            <w:r>
              <w:rPr>
                <w:sz w:val="24"/>
                <w:b/>
              </w:rPr>
              <w:t xml:space="preserve">第八条 </w:t>
            </w:r>
            <w:r>
              <w:rPr>
                <w:sz w:val="24"/>
              </w:rPr>
              <w:t>置入活动，丰富体验。充分利用岸线、水面、高架桥下、腹地公园等空间，打造滨水可驻留、可活动、可消费的户外场所，策划水上特色市集、水上秀场、科技灯光秀、漫展等活动，营造多样化的滨水公共空间，实现社会效益与经济效益协同发展。</w:t>
            </w:r>
          </w:p>
          <w:p>
            <w:pPr>
              <w:pStyle w:val="null3"/>
              <w:ind w:firstLine="482"/>
              <w:jc w:val="left"/>
            </w:pPr>
            <w:r>
              <w:rPr>
                <w:sz w:val="24"/>
                <w:b/>
              </w:rPr>
              <w:t xml:space="preserve">第九条 </w:t>
            </w:r>
            <w:r>
              <w:rPr>
                <w:sz w:val="24"/>
              </w:rPr>
              <w:t>面向实施，融合建设。以实施为导向，结合地区开发建设现实情况及问题，坚持因地制宜，务实推进规划布局，引导黄埔涌两岸公共空间与腹地建设一体化考量，保障城市空间的统一融合。</w:t>
            </w:r>
          </w:p>
        </w:tc>
      </w:tr>
      <w:tr>
        <w:tc>
          <w:tcPr>
            <w:tcW w:type="dxa" w:w="2076"/>
          </w:tcPr>
          <w:p/>
        </w:tc>
        <w:tc>
          <w:tcPr>
            <w:tcW w:type="dxa" w:w="415"/>
          </w:tcPr>
          <w:p>
            <w:pPr>
              <w:pStyle w:val="null3"/>
            </w:pPr>
            <w:r>
              <w:rPr/>
              <w:t>3</w:t>
            </w:r>
          </w:p>
        </w:tc>
        <w:tc>
          <w:tcPr>
            <w:tcW w:type="dxa" w:w="5814"/>
          </w:tcPr>
          <w:p>
            <w:pPr>
              <w:pStyle w:val="null3"/>
              <w:jc w:val="center"/>
            </w:pPr>
            <w:r>
              <w:rPr>
                <w:sz w:val="24"/>
                <w:b/>
              </w:rPr>
              <w:t>第三章  工作目标与内容</w:t>
            </w:r>
          </w:p>
          <w:p>
            <w:pPr>
              <w:pStyle w:val="null3"/>
              <w:ind w:firstLine="482"/>
              <w:jc w:val="both"/>
            </w:pPr>
            <w:r>
              <w:rPr>
                <w:sz w:val="24"/>
                <w:b/>
              </w:rPr>
              <w:t xml:space="preserve">第十条 </w:t>
            </w:r>
            <w:r>
              <w:rPr>
                <w:sz w:val="24"/>
              </w:rPr>
              <w:t>工作目标：通过对河涌两岸滨水公共空间的研究，解决现状两岸空间利用不足、沿线功能联动薄弱、水岸与腹地联通受阻等问题，充分发挥黄埔涌滨水空间的综合引领价值，优化滨水公共空间、提升沿线土地价值、强化两岸活力，将黄埔涌规划打造为一条融合历史、生态、产业发展的高品质滨水空间示范带。</w:t>
            </w:r>
          </w:p>
          <w:p>
            <w:pPr>
              <w:pStyle w:val="null3"/>
              <w:ind w:firstLine="482"/>
              <w:jc w:val="both"/>
            </w:pPr>
            <w:r>
              <w:rPr>
                <w:sz w:val="24"/>
                <w:b/>
              </w:rPr>
              <w:t xml:space="preserve">第十一条 </w:t>
            </w:r>
            <w:r>
              <w:rPr>
                <w:sz w:val="24"/>
              </w:rPr>
              <w:t>工作内容包括：</w:t>
            </w:r>
          </w:p>
          <w:p>
            <w:pPr>
              <w:pStyle w:val="null3"/>
              <w:ind w:firstLine="480"/>
              <w:jc w:val="both"/>
            </w:pPr>
            <w:r>
              <w:rPr>
                <w:sz w:val="24"/>
              </w:rPr>
              <w:t>一、基础分析</w:t>
            </w:r>
          </w:p>
          <w:p>
            <w:pPr>
              <w:pStyle w:val="null3"/>
              <w:ind w:firstLine="480"/>
              <w:jc w:val="both"/>
            </w:pPr>
            <w:r>
              <w:rPr>
                <w:sz w:val="24"/>
              </w:rPr>
              <w:t>（一）区域分析与价值研判</w:t>
            </w:r>
          </w:p>
          <w:p>
            <w:pPr>
              <w:pStyle w:val="null3"/>
              <w:ind w:firstLine="480"/>
              <w:jc w:val="both"/>
            </w:pPr>
            <w:r>
              <w:rPr>
                <w:sz w:val="24"/>
              </w:rPr>
              <w:t>面向广州推进实现老城市新活力、“四个出新出彩”和中国式现代化的发展要求，从区域发展格局出发，提出黄埔涌对于广州未来城市发展意义和发展机遇。</w:t>
            </w:r>
          </w:p>
          <w:p>
            <w:pPr>
              <w:pStyle w:val="null3"/>
              <w:ind w:firstLine="480"/>
              <w:jc w:val="both"/>
            </w:pPr>
            <w:r>
              <w:rPr>
                <w:sz w:val="24"/>
              </w:rPr>
              <w:t>（二）国内外经验研究</w:t>
            </w:r>
          </w:p>
          <w:p>
            <w:pPr>
              <w:pStyle w:val="null3"/>
              <w:ind w:firstLine="480"/>
              <w:jc w:val="both"/>
            </w:pPr>
            <w:r>
              <w:rPr>
                <w:sz w:val="24"/>
              </w:rPr>
              <w:t>研究国内外知</w:t>
            </w:r>
            <w:r>
              <w:rPr>
                <w:sz w:val="24"/>
                <w:color w:val="FFFFFF"/>
              </w:rPr>
              <w:t>.</w:t>
            </w:r>
            <w:r>
              <w:rPr>
                <w:sz w:val="24"/>
              </w:rPr>
              <w:t>名滨水公共空间两岸的设施、功能、主题、慢行组织等案例，分析其规划建设经验，对比出黄埔涌两岸空间和功能短板，提炼对黄埔涌两岸公共空间建设的启示。</w:t>
            </w:r>
          </w:p>
          <w:p>
            <w:pPr>
              <w:pStyle w:val="null3"/>
              <w:ind w:firstLine="480"/>
              <w:jc w:val="both"/>
            </w:pPr>
            <w:r>
              <w:rPr>
                <w:sz w:val="24"/>
              </w:rPr>
              <w:t>二、总体公共空间设计</w:t>
            </w:r>
          </w:p>
          <w:p>
            <w:pPr>
              <w:pStyle w:val="null3"/>
              <w:ind w:firstLine="480"/>
              <w:jc w:val="both"/>
            </w:pPr>
            <w:r>
              <w:rPr>
                <w:sz w:val="24"/>
              </w:rPr>
              <w:t>（一）现状特征研究</w:t>
            </w:r>
          </w:p>
          <w:p>
            <w:pPr>
              <w:pStyle w:val="null3"/>
              <w:ind w:firstLine="480"/>
              <w:jc w:val="both"/>
            </w:pPr>
            <w:r>
              <w:rPr>
                <w:sz w:val="24"/>
              </w:rPr>
              <w:t>对黄埔涌两岸滨水公共空间进行调研摸查，结合慢行系统、用地权属、现状建设限制条件等影响因子进行研究，分析现状发展特征及存在问题。</w:t>
            </w:r>
          </w:p>
          <w:p>
            <w:pPr>
              <w:pStyle w:val="null3"/>
              <w:ind w:firstLine="480"/>
              <w:jc w:val="both"/>
            </w:pPr>
            <w:r>
              <w:rPr>
                <w:sz w:val="24"/>
              </w:rPr>
              <w:t>（二）总体公共空间设计方案</w:t>
            </w:r>
          </w:p>
          <w:p>
            <w:pPr>
              <w:pStyle w:val="null3"/>
              <w:ind w:firstLine="480"/>
              <w:jc w:val="both"/>
            </w:pPr>
            <w:r>
              <w:rPr>
                <w:sz w:val="24"/>
              </w:rPr>
              <w:t>梳理黄埔涌两岸历史、文化、生态及产业资源，提出黄埔涌两岸滨水公共空间规划定位和总体目标等，并从岸线贯通、腹地联动、增补配套设施等系统性角度对片区总体空间形态、公共空间系统、慢行及道路交通组织等进行分析评价，并提出针对性优化策略，形成总体公共空间设计方案。</w:t>
            </w:r>
          </w:p>
          <w:p>
            <w:pPr>
              <w:pStyle w:val="null3"/>
              <w:ind w:firstLine="480"/>
              <w:jc w:val="both"/>
            </w:pPr>
            <w:r>
              <w:rPr>
                <w:sz w:val="24"/>
              </w:rPr>
              <w:t>三、重要公共空间节点设计</w:t>
            </w:r>
          </w:p>
          <w:p>
            <w:pPr>
              <w:pStyle w:val="null3"/>
              <w:ind w:firstLine="480"/>
              <w:jc w:val="both"/>
            </w:pPr>
            <w:r>
              <w:rPr>
                <w:sz w:val="24"/>
              </w:rPr>
              <w:t>（一）重要公共空间节点设计方案</w:t>
            </w:r>
          </w:p>
          <w:p>
            <w:pPr>
              <w:pStyle w:val="null3"/>
              <w:ind w:firstLine="480"/>
              <w:jc w:val="both"/>
            </w:pPr>
            <w:r>
              <w:rPr>
                <w:sz w:val="24"/>
              </w:rPr>
              <w:t>研究选取重要公共空间节点，针对黄埔涌两岸公共空间具体场地平面布局、配套设施、城市家具、绿植景观等方面开展详细设计，形成重要节点城市设计方案，并根据设计方案梳理形成近远期实施建议，指导下一步建设实施，成果包括：</w:t>
            </w:r>
          </w:p>
          <w:p>
            <w:pPr>
              <w:pStyle w:val="null3"/>
              <w:ind w:firstLine="480"/>
              <w:jc w:val="both"/>
            </w:pPr>
            <w:r>
              <w:rPr>
                <w:sz w:val="24"/>
              </w:rPr>
              <w:t>（1）场地平面布局：结合场地及周边环境、人群需求合理确定节点主题和设计风格，设置户外活动、停留休憩、绿化种植等空间，动静分区清晰，流线衔接合理。</w:t>
            </w:r>
          </w:p>
          <w:p>
            <w:pPr>
              <w:pStyle w:val="null3"/>
              <w:ind w:firstLine="480"/>
              <w:jc w:val="both"/>
            </w:pPr>
            <w:r>
              <w:rPr>
                <w:sz w:val="24"/>
              </w:rPr>
              <w:t>（2）设施配套：结合场地功能和日常休闲需求，研究如服务驿站、wifi亭等必要的公共设施，并考虑设施造型的美观性、安全性和可持续性，为市民提供便利。</w:t>
            </w:r>
          </w:p>
          <w:p>
            <w:pPr>
              <w:pStyle w:val="null3"/>
              <w:ind w:firstLine="480"/>
              <w:jc w:val="both"/>
            </w:pPr>
            <w:r>
              <w:rPr>
                <w:sz w:val="24"/>
              </w:rPr>
              <w:t>（3）城市家具：从舒适度和便利度角度考虑设置公共座椅、垃圾桶、照明、标识标牌、艺术雕塑等城市家具，其色彩、材质和造型样式应符合场地及周边整体风貌和人文特色。</w:t>
            </w:r>
          </w:p>
          <w:p>
            <w:pPr>
              <w:pStyle w:val="null3"/>
              <w:ind w:firstLine="480"/>
              <w:jc w:val="both"/>
            </w:pPr>
            <w:r>
              <w:rPr>
                <w:sz w:val="24"/>
              </w:rPr>
              <w:t>（4）绿化配置：根据广州气候条件和节点主题，选择适配的乔木、灌木和地被等植物，创造出具有层次感和立体感的绿化景观，增强公园的美感和生态效益。</w:t>
            </w:r>
          </w:p>
          <w:p>
            <w:pPr>
              <w:pStyle w:val="null3"/>
              <w:ind w:firstLine="480"/>
              <w:jc w:val="both"/>
            </w:pPr>
            <w:r>
              <w:rPr>
                <w:sz w:val="24"/>
              </w:rPr>
              <w:t>（二）空间效果展示</w:t>
            </w:r>
          </w:p>
          <w:p>
            <w:pPr>
              <w:pStyle w:val="null3"/>
              <w:ind w:firstLine="480"/>
              <w:jc w:val="left"/>
            </w:pPr>
            <w:r>
              <w:rPr>
                <w:sz w:val="24"/>
              </w:rPr>
              <w:t>选取合适视角，对重要公共空间节点制作实景融入效果图，有效表达设计理念与设计手法。</w:t>
            </w:r>
          </w:p>
        </w:tc>
      </w:tr>
      <w:tr>
        <w:tc>
          <w:tcPr>
            <w:tcW w:type="dxa" w:w="2076"/>
          </w:tcPr>
          <w:p/>
        </w:tc>
        <w:tc>
          <w:tcPr>
            <w:tcW w:type="dxa" w:w="415"/>
          </w:tcPr>
          <w:p>
            <w:pPr>
              <w:pStyle w:val="null3"/>
            </w:pPr>
            <w:r>
              <w:rPr/>
              <w:t>4</w:t>
            </w:r>
          </w:p>
        </w:tc>
        <w:tc>
          <w:tcPr>
            <w:tcW w:type="dxa" w:w="5814"/>
          </w:tcPr>
          <w:p>
            <w:pPr>
              <w:pStyle w:val="null3"/>
              <w:jc w:val="center"/>
            </w:pPr>
            <w:r>
              <w:rPr>
                <w:sz w:val="24"/>
                <w:b/>
              </w:rPr>
              <w:t>第四章  成果要求</w:t>
            </w:r>
          </w:p>
          <w:p>
            <w:pPr>
              <w:pStyle w:val="null3"/>
              <w:ind w:firstLine="482"/>
              <w:jc w:val="both"/>
            </w:pPr>
            <w:r>
              <w:rPr>
                <w:sz w:val="24"/>
                <w:b/>
              </w:rPr>
              <w:t xml:space="preserve">第十二条 </w:t>
            </w:r>
            <w:r>
              <w:rPr>
                <w:sz w:val="24"/>
              </w:rPr>
              <w:t>设计成果内容必须符合本任务书中的总则、设计原则、工作内容等有关章节的规定。成果内容要点清晰，具有实操性，能够切实发挥设计对实施的指导作用。</w:t>
            </w:r>
          </w:p>
          <w:p>
            <w:pPr>
              <w:pStyle w:val="null3"/>
              <w:ind w:firstLine="482"/>
              <w:jc w:val="both"/>
            </w:pPr>
            <w:r>
              <w:rPr>
                <w:sz w:val="24"/>
                <w:b/>
              </w:rPr>
              <w:t xml:space="preserve">第十三条 </w:t>
            </w:r>
            <w:r>
              <w:rPr>
                <w:sz w:val="24"/>
              </w:rPr>
              <w:t>成果需提交A4大小的文档报告，上述文件同时需提供符合项目归档结题的电子文件格式，报告要以word或PDF格式文件提供。所有文件应符合行业规范、地方通用标准及采购人要求。</w:t>
            </w:r>
          </w:p>
          <w:p>
            <w:pPr>
              <w:pStyle w:val="null3"/>
              <w:ind w:firstLine="482"/>
              <w:jc w:val="both"/>
            </w:pPr>
            <w:r>
              <w:rPr>
                <w:sz w:val="24"/>
                <w:b/>
              </w:rPr>
              <w:t xml:space="preserve">第十四条 </w:t>
            </w:r>
            <w:r>
              <w:rPr>
                <w:sz w:val="24"/>
              </w:rPr>
              <w:t>所有成果的计量单位均应采用国际标准计量单位。长度单位：总平面图标注尺寸以米（m）为单位，建筑设计图标注尺寸以毫米（mm）为单位；面积单位：均以平方米（㎡）为单位；体积单位：均以立方米（m³）为单位。</w:t>
            </w:r>
          </w:p>
          <w:p>
            <w:pPr>
              <w:pStyle w:val="null3"/>
              <w:ind w:firstLine="482"/>
              <w:jc w:val="left"/>
            </w:pPr>
            <w:r>
              <w:rPr>
                <w:sz w:val="24"/>
                <w:b/>
              </w:rPr>
              <w:t xml:space="preserve">第十五条 </w:t>
            </w:r>
            <w:r>
              <w:rPr>
                <w:sz w:val="24"/>
              </w:rPr>
              <w:t>中标人可以根据需要提供上述成果要求以外的其他材料。</w:t>
            </w:r>
          </w:p>
        </w:tc>
      </w:tr>
      <w:tr>
        <w:tc>
          <w:tcPr>
            <w:tcW w:type="dxa" w:w="2076"/>
          </w:tcPr>
          <w:p/>
        </w:tc>
        <w:tc>
          <w:tcPr>
            <w:tcW w:type="dxa" w:w="415"/>
          </w:tcPr>
          <w:p>
            <w:pPr>
              <w:pStyle w:val="null3"/>
            </w:pPr>
            <w:r>
              <w:rPr/>
              <w:t>5</w:t>
            </w:r>
          </w:p>
        </w:tc>
        <w:tc>
          <w:tcPr>
            <w:tcW w:type="dxa" w:w="5814"/>
          </w:tcPr>
          <w:p>
            <w:pPr>
              <w:pStyle w:val="null3"/>
              <w:jc w:val="center"/>
            </w:pPr>
            <w:r>
              <w:rPr>
                <w:sz w:val="24"/>
                <w:b/>
              </w:rPr>
              <w:t>第五章  成果报送与审查规定</w:t>
            </w:r>
          </w:p>
          <w:p>
            <w:pPr>
              <w:pStyle w:val="null3"/>
              <w:ind w:firstLine="482"/>
              <w:jc w:val="both"/>
            </w:pPr>
            <w:r>
              <w:rPr>
                <w:sz w:val="24"/>
                <w:b/>
              </w:rPr>
              <w:t xml:space="preserve">第十六条 </w:t>
            </w:r>
            <w:r>
              <w:rPr>
                <w:sz w:val="24"/>
              </w:rPr>
              <w:t>本项工作采取分阶段评审的方式，采购人负责组织审查工作，并出具审查书面意见。中标人负责提供审查和验收所必需的汇报材料和相关文件。</w:t>
            </w:r>
          </w:p>
          <w:p>
            <w:pPr>
              <w:pStyle w:val="null3"/>
              <w:ind w:firstLine="482"/>
              <w:jc w:val="left"/>
            </w:pPr>
            <w:r>
              <w:rPr>
                <w:sz w:val="24"/>
                <w:b/>
              </w:rPr>
              <w:t xml:space="preserve">第十七条 </w:t>
            </w:r>
            <w:r>
              <w:rPr>
                <w:sz w:val="24"/>
              </w:rPr>
              <w:t>提交的正式规划成果必须加注委托单位名称、中标人名称及法人代表、项目负责人、技术协调人及设计人员名单，并加盖中标人公章和城市规划设计出图专用章。</w:t>
            </w:r>
          </w:p>
        </w:tc>
      </w:tr>
      <w:tr>
        <w:tc>
          <w:tcPr>
            <w:tcW w:type="dxa" w:w="2076"/>
          </w:tcPr>
          <w:p/>
        </w:tc>
        <w:tc>
          <w:tcPr>
            <w:tcW w:type="dxa" w:w="415"/>
          </w:tcPr>
          <w:p>
            <w:pPr>
              <w:pStyle w:val="null3"/>
            </w:pPr>
            <w:r>
              <w:rPr/>
              <w:t>6</w:t>
            </w:r>
          </w:p>
        </w:tc>
        <w:tc>
          <w:tcPr>
            <w:tcW w:type="dxa" w:w="5814"/>
          </w:tcPr>
          <w:p>
            <w:pPr>
              <w:pStyle w:val="null3"/>
              <w:jc w:val="center"/>
            </w:pPr>
            <w:r>
              <w:rPr>
                <w:sz w:val="24"/>
                <w:b/>
              </w:rPr>
              <w:t>第六章  附则</w:t>
            </w:r>
          </w:p>
          <w:p>
            <w:pPr>
              <w:pStyle w:val="null3"/>
              <w:ind w:firstLine="482"/>
              <w:jc w:val="both"/>
            </w:pPr>
            <w:r>
              <w:rPr>
                <w:sz w:val="24"/>
                <w:b/>
              </w:rPr>
              <w:t xml:space="preserve">第十八条 </w:t>
            </w:r>
            <w:r>
              <w:rPr>
                <w:sz w:val="24"/>
              </w:rPr>
              <w:t>本项规划署名权归中标人所有，版权归组织编制单位所有；采购人有权在规划审定后公开展示规划成果，并通过传播、媒介、专业杂志、书刊及其它形式介绍、展示、评价规划方案。</w:t>
            </w:r>
          </w:p>
          <w:p>
            <w:pPr>
              <w:pStyle w:val="null3"/>
              <w:ind w:firstLine="482"/>
              <w:jc w:val="both"/>
            </w:pPr>
            <w:r>
              <w:rPr>
                <w:sz w:val="24"/>
                <w:b/>
              </w:rPr>
              <w:t xml:space="preserve">第十九条 </w:t>
            </w:r>
            <w:r>
              <w:rPr>
                <w:sz w:val="24"/>
              </w:rPr>
              <w:t>规划批准实施前，任何单位和个人未经采购人同意都无权以任何形式向社会公开展示设计成果。</w:t>
            </w:r>
          </w:p>
          <w:p>
            <w:pPr>
              <w:pStyle w:val="null3"/>
              <w:ind w:firstLine="482"/>
              <w:jc w:val="both"/>
            </w:pPr>
            <w:r>
              <w:rPr>
                <w:sz w:val="24"/>
                <w:b/>
              </w:rPr>
              <w:t xml:space="preserve">第二十条 </w:t>
            </w:r>
            <w:r>
              <w:rPr>
                <w:sz w:val="24"/>
              </w:rPr>
              <w:t>如对本任务书有疑问，可在接到本任务书后致函项目组织单位，项目组织单位将做电子邮件或书面形式答复。</w:t>
            </w:r>
          </w:p>
          <w:p>
            <w:pPr>
              <w:pStyle w:val="null3"/>
              <w:ind w:firstLine="482"/>
              <w:jc w:val="both"/>
            </w:pPr>
            <w:r>
              <w:rPr>
                <w:sz w:val="24"/>
                <w:b/>
              </w:rPr>
              <w:t xml:space="preserve">第二十一条 </w:t>
            </w:r>
            <w:r>
              <w:rPr>
                <w:sz w:val="24"/>
              </w:rPr>
              <w:t>中标人所提交的规划成果有下列情形之一的视为成果无效，按技术服务合同规定承担相应责任。</w:t>
            </w:r>
          </w:p>
          <w:p>
            <w:pPr>
              <w:pStyle w:val="null3"/>
              <w:ind w:firstLine="480"/>
              <w:jc w:val="both"/>
            </w:pPr>
            <w:r>
              <w:rPr>
                <w:sz w:val="24"/>
              </w:rPr>
              <w:t>1.提交的规划成果不符合本规划任务书规定的；</w:t>
            </w:r>
          </w:p>
          <w:p>
            <w:pPr>
              <w:pStyle w:val="null3"/>
              <w:ind w:firstLine="480"/>
              <w:jc w:val="both"/>
            </w:pPr>
            <w:r>
              <w:rPr>
                <w:sz w:val="24"/>
              </w:rPr>
              <w:t>2.提交的规划成果图纸和文字辨认不清，内容不全或粗制滥造的；</w:t>
            </w:r>
          </w:p>
          <w:p>
            <w:pPr>
              <w:pStyle w:val="null3"/>
              <w:ind w:firstLine="480"/>
              <w:jc w:val="both"/>
            </w:pPr>
            <w:r>
              <w:rPr>
                <w:sz w:val="24"/>
              </w:rPr>
              <w:t>3.无填充完整的中标人图签；未盖有承接单位公章或出图章或设计人员未签署。</w:t>
            </w:r>
          </w:p>
          <w:p>
            <w:pPr>
              <w:pStyle w:val="null3"/>
              <w:ind w:firstLine="482"/>
              <w:jc w:val="both"/>
            </w:pPr>
            <w:r>
              <w:rPr>
                <w:sz w:val="24"/>
                <w:b/>
              </w:rPr>
              <w:t xml:space="preserve">第二十二条 </w:t>
            </w:r>
            <w:r>
              <w:rPr>
                <w:sz w:val="24"/>
              </w:rPr>
              <w:t>后续技术服务。为保证该工作的实施效果，提高实施效能，承接单位和具体人员必须履行后续跟踪服务职责。承接单位应派不少于1-2名人员驻场服务。</w:t>
            </w:r>
          </w:p>
          <w:p>
            <w:pPr>
              <w:pStyle w:val="null3"/>
              <w:ind w:firstLine="482"/>
              <w:jc w:val="both"/>
            </w:pPr>
            <w:r>
              <w:rPr>
                <w:sz w:val="24"/>
                <w:b/>
              </w:rPr>
              <w:t xml:space="preserve">第二十三条 </w:t>
            </w:r>
            <w:r>
              <w:rPr>
                <w:sz w:val="24"/>
              </w:rPr>
              <w:t>本项目不允许分包和转包。</w:t>
            </w:r>
          </w:p>
          <w:p>
            <w:pPr>
              <w:pStyle w:val="null3"/>
              <w:ind w:firstLine="482"/>
              <w:jc w:val="left"/>
            </w:pPr>
            <w:r>
              <w:rPr>
                <w:sz w:val="24"/>
                <w:b/>
              </w:rPr>
              <w:t xml:space="preserve">第二十四条 </w:t>
            </w:r>
            <w:r>
              <w:rPr>
                <w:sz w:val="24"/>
              </w:rPr>
              <w:t>本规划任务书解释权归采购人所有。</w:t>
            </w:r>
          </w:p>
        </w:tc>
      </w:tr>
      <w:tr>
        <w:tc>
          <w:tcPr>
            <w:tcW w:type="dxa" w:w="2076"/>
          </w:tcPr>
          <w:p/>
        </w:tc>
        <w:tc>
          <w:tcPr>
            <w:tcW w:type="dxa" w:w="415"/>
          </w:tcPr>
          <w:p>
            <w:pPr>
              <w:pStyle w:val="null3"/>
            </w:pPr>
            <w:r>
              <w:rPr/>
              <w:t>7</w:t>
            </w:r>
          </w:p>
        </w:tc>
        <w:tc>
          <w:tcPr>
            <w:tcW w:type="dxa" w:w="5814"/>
          </w:tcPr>
          <w:p>
            <w:pPr>
              <w:pStyle w:val="null3"/>
              <w:jc w:val="center"/>
            </w:pPr>
            <w:r>
              <w:rPr>
                <w:sz w:val="24"/>
                <w:b/>
              </w:rPr>
              <w:t>第七章  其他要求</w:t>
            </w:r>
          </w:p>
          <w:p>
            <w:pPr>
              <w:pStyle w:val="null3"/>
              <w:ind w:firstLine="482"/>
              <w:jc w:val="both"/>
            </w:pPr>
            <w:r>
              <w:rPr>
                <w:sz w:val="24"/>
                <w:b/>
              </w:rPr>
              <w:t xml:space="preserve">第二十五条 </w:t>
            </w:r>
            <w:r>
              <w:rPr>
                <w:sz w:val="24"/>
              </w:rPr>
              <w:t>工期和技术要求</w:t>
            </w:r>
          </w:p>
          <w:p>
            <w:pPr>
              <w:pStyle w:val="null3"/>
              <w:ind w:firstLine="480"/>
              <w:jc w:val="both"/>
            </w:pPr>
            <w:r>
              <w:rPr>
                <w:sz w:val="24"/>
              </w:rPr>
              <w:t>1.工期计划 ：包括前期方案阶段、初步成果阶段、规划上报审批或结题阶段。（注：上述各阶段工作时间具体以实际开展情况为准）。</w:t>
            </w:r>
          </w:p>
          <w:p>
            <w:pPr>
              <w:pStyle w:val="null3"/>
              <w:ind w:firstLine="480"/>
              <w:jc w:val="both"/>
            </w:pPr>
            <w:r>
              <w:rPr>
                <w:sz w:val="24"/>
              </w:rPr>
              <w:t>2.如采购人未及时提供所需资料或书面反馈意见或未能按合同规定支付设计费给中标人时，工期应顺延。</w:t>
            </w:r>
          </w:p>
          <w:p>
            <w:pPr>
              <w:pStyle w:val="null3"/>
              <w:ind w:firstLine="480"/>
              <w:jc w:val="both"/>
            </w:pPr>
            <w:r>
              <w:rPr>
                <w:sz w:val="24"/>
              </w:rPr>
              <w:t>3.技术要求：符合《中华人民共和国城乡规划法》等现行的国家和地方有关法律、法规以及相关规范的技术要求。</w:t>
            </w:r>
          </w:p>
          <w:p>
            <w:pPr>
              <w:pStyle w:val="null3"/>
              <w:ind w:firstLine="482"/>
              <w:jc w:val="both"/>
            </w:pPr>
            <w:r>
              <w:rPr>
                <w:sz w:val="24"/>
                <w:b/>
              </w:rPr>
              <w:t xml:space="preserve">第二十六条 </w:t>
            </w:r>
            <w:r>
              <w:rPr>
                <w:sz w:val="24"/>
              </w:rPr>
              <w:t>本项目重点、难点</w:t>
            </w:r>
          </w:p>
          <w:p>
            <w:pPr>
              <w:pStyle w:val="null3"/>
              <w:ind w:firstLine="480"/>
              <w:jc w:val="both"/>
            </w:pPr>
            <w:r>
              <w:rPr>
                <w:sz w:val="24"/>
              </w:rPr>
              <w:t>本项目需通过对河涌两岸滨水公共空间的研究，解决现状两岸空间利用不足、沿线功能联动薄弱、水岸与腹地联通受阻等问题，充分发挥黄埔涌滨水空间的综合引领价值，优化滨水公共空间、提升沿线土地价值、强化两岸活力，将黄埔涌规划打造为一条融合历史、生态、产业发展的高品质滨水空间示范带。由于规划设计需要考虑到很多外部因素，比如政策、经济、社会、环境等，实施本项目的技术要求较高，需要综合运用多种技术手段，如地理信息系统、城市设计等，同时对项目团队人员的专业能力要求较高。</w:t>
            </w:r>
          </w:p>
          <w:p>
            <w:pPr>
              <w:pStyle w:val="null3"/>
              <w:ind w:firstLine="482"/>
              <w:jc w:val="both"/>
            </w:pPr>
            <w:r>
              <w:rPr>
                <w:sz w:val="24"/>
                <w:b/>
              </w:rPr>
              <w:t xml:space="preserve">第二十七条 </w:t>
            </w:r>
            <w:r>
              <w:rPr>
                <w:sz w:val="24"/>
              </w:rPr>
              <w:t>质量保障要求</w:t>
            </w:r>
          </w:p>
          <w:p>
            <w:pPr>
              <w:pStyle w:val="null3"/>
              <w:ind w:firstLine="480"/>
              <w:jc w:val="both"/>
            </w:pPr>
            <w:r>
              <w:rPr>
                <w:sz w:val="24"/>
              </w:rPr>
              <w:t>投标人需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w:t>
            </w:r>
          </w:p>
          <w:p>
            <w:pPr>
              <w:pStyle w:val="null3"/>
              <w:ind w:firstLine="480"/>
              <w:jc w:val="both"/>
            </w:pPr>
            <w:r>
              <w:rPr>
                <w:sz w:val="24"/>
              </w:rPr>
              <w:t>制定对规划长期跟踪研究的服务方案，及时发现规划实施过程中出现的问题，反馈并提出调整建议，对规划项目进行必要优化，为规划的优化和完善提供专业的技术支持和建议。</w:t>
            </w:r>
          </w:p>
          <w:p>
            <w:pPr>
              <w:pStyle w:val="null3"/>
              <w:ind w:firstLine="482"/>
              <w:jc w:val="both"/>
            </w:pPr>
            <w:r>
              <w:rPr>
                <w:sz w:val="24"/>
                <w:b/>
              </w:rPr>
              <w:t xml:space="preserve">第二十八条 </w:t>
            </w:r>
            <w:r>
              <w:rPr>
                <w:sz w:val="24"/>
              </w:rPr>
              <w:t>人员要求</w:t>
            </w:r>
          </w:p>
          <w:p>
            <w:pPr>
              <w:pStyle w:val="null3"/>
              <w:ind w:firstLine="480"/>
              <w:jc w:val="both"/>
            </w:pPr>
            <w:r>
              <w:rPr>
                <w:sz w:val="24"/>
              </w:rPr>
              <w:t>本项目要求投标人拟投入本项目的项目团队人员具备与本项目相关的专业知识。</w:t>
            </w:r>
          </w:p>
          <w:p>
            <w:pPr>
              <w:pStyle w:val="null3"/>
              <w:ind w:firstLine="480"/>
              <w:jc w:val="both"/>
            </w:pPr>
            <w:r>
              <w:rPr>
                <w:sz w:val="24"/>
              </w:rPr>
              <w:t>①项目负责人（1人）宜具备3年（含）以上的城乡规划工作经验，宜具有城市（乡）规划专业正高级职称以及与城乡规划相关的项目经验，负责项目的总体协调，能够统筹项目管理、技术管理。</w:t>
            </w:r>
          </w:p>
          <w:p>
            <w:pPr>
              <w:pStyle w:val="null3"/>
              <w:ind w:firstLine="480"/>
              <w:jc w:val="both"/>
            </w:pPr>
            <w:r>
              <w:rPr>
                <w:sz w:val="24"/>
              </w:rPr>
              <w:t>②项目团队（不少于8人）需包含：具有城市（乡）规划相关专业职称的技术人员，负责技术支持工作；具有建筑学、市政路桥、给水排水设计、建筑结构、风景园林设计相关专业职称的人员，能够充分理解项目需求，完成工作任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城维计划-城市设计编制及技术咨询服务（黄埔涌沿岸滨水公共空间设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采购包1（城维计划-城市设计编制及技术咨询服务（黄埔涌沿岸滨水公共空间设计））：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采购包1（城维计划-城市设计编制及技术咨询服务（黄埔涌沿岸滨水公共空间设计））：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tc>
      </w:tr>
    </w:tbl>
    <w:p>
      <w:pPr>
        <w:pStyle w:val="null3"/>
        <w:ind w:firstLine="480"/>
      </w:pPr>
      <w:r>
        <w:rPr/>
        <w:t>表二符合性审查表：</w:t>
      </w:r>
    </w:p>
    <w:p>
      <w:pPr>
        <w:pStyle w:val="null3"/>
      </w:pPr>
      <w:r>
        <w:rPr/>
        <w:t>采购包1（城维计划-城市设计编制及技术咨询服务（黄埔涌沿岸滨水公共空间设计））：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采购包1(城维计划-城市设计编制及技术咨询服务（黄埔涌沿岸滨水公共空间设计）):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对项目的熟悉和了解程度 (10.0分)</w:t>
            </w:r>
          </w:p>
        </w:tc>
        <w:tc>
          <w:tcPr>
            <w:tcW w:type="dxa" w:w="5076"/>
          </w:tcPr>
          <w:p>
            <w:pPr>
              <w:pStyle w:val="null3"/>
              <w:jc w:val="left"/>
            </w:pPr>
            <w:r>
              <w:rPr/>
              <w:t>根据采购需求中的项目背景及规划范围，对投标人对项目的熟悉和了解程度（包括①对工作开展范围及周边区域的现状情况、发展目标与方向、发展思路、城市建设重点的理解和认识；②与本项目相关的法律法规、政策和上层次相关规划的解读）进行评审： （1）能提供包含上述两项内容的，得2分，不提供不得分。 （2）结合采购需求，在满足第（1）项的基础上： ①投标人对工作开展范围及周边区域的现状情况、发展目标与方向、发展思路、城市建设重点的理解和认识全面、准确，对与本项目相关的法律法规、政策和上层次相关规划的解读深刻、到位、有针对性，得8分； ②投标人对工作开展范围及周边区域的现状情况、发展目标与方向、发展思路、城市建设重点的理解和认识基本准确，对与本项目相关的法律法规、政策和上层次相关规划的解读基本到位、有一定的针对性，得5分； ③投标人对工作开展范围及周边区域的现状情况、发展目标与方向、发展思路、城市建设重点的理解和认识程度不完整，仅对部分与本项目相关的法律法规、政策和上层次相关规划的进行解读，得2分； ④未提供对应方案或方案不符合采购需求的，不得分。</w:t>
            </w:r>
          </w:p>
        </w:tc>
      </w:tr>
      <w:tr>
        <w:tc>
          <w:tcPr>
            <w:tcW w:type="dxa" w:w="922"/>
            <w:gridSpan w:val="2"/>
            <w:vMerge/>
          </w:tcPr>
          <w:p/>
        </w:tc>
        <w:tc>
          <w:tcPr>
            <w:tcW w:type="dxa" w:w="2307"/>
          </w:tcPr>
          <w:p>
            <w:pPr>
              <w:pStyle w:val="null3"/>
              <w:jc w:val="left"/>
            </w:pPr>
            <w:r>
              <w:rPr/>
              <w:t>项目技术路线、总体工作思路 (12.0分)</w:t>
            </w:r>
          </w:p>
        </w:tc>
        <w:tc>
          <w:tcPr>
            <w:tcW w:type="dxa" w:w="5076"/>
          </w:tcPr>
          <w:p>
            <w:pPr>
              <w:pStyle w:val="null3"/>
              <w:jc w:val="left"/>
            </w:pPr>
            <w:r>
              <w:rPr/>
              <w:t>根据采购需求中的“工作目标与内容”，对投标人为本项目提供的技术路线和总体工作思路（包括①开展工作的技术路线；②总体工作思路）进行评审： （1）能提供包含上述两项内容的，得2分，不提供不得分。 （2）结合采购需求，在满足第（1）项的基础上： ①开展工作的技术路线、总体工作思路充分结合本项目实际情况，可行性强，优于采购需求的，得10分； ②开展工作的技术路线、总体工作思路基本能结合本项目实际情况，有一定的可行性，满足采购需求的，得5分； ③开展工作的技术路线、总体工作思路部分有结合本项目实际情况，部分满足采购需求的，得2分； ④未提供对应方案或方案不符合采购需求的，不得分。</w:t>
            </w:r>
          </w:p>
        </w:tc>
      </w:tr>
      <w:tr>
        <w:tc>
          <w:tcPr>
            <w:tcW w:type="dxa" w:w="922"/>
            <w:gridSpan w:val="2"/>
            <w:vMerge/>
          </w:tcPr>
          <w:p/>
        </w:tc>
        <w:tc>
          <w:tcPr>
            <w:tcW w:type="dxa" w:w="2307"/>
          </w:tcPr>
          <w:p>
            <w:pPr>
              <w:pStyle w:val="null3"/>
              <w:jc w:val="left"/>
            </w:pPr>
            <w:r>
              <w:rPr/>
              <w:t>项目重点难点分析及合理化建议 (10.0分)</w:t>
            </w:r>
          </w:p>
        </w:tc>
        <w:tc>
          <w:tcPr>
            <w:tcW w:type="dxa" w:w="5076"/>
          </w:tcPr>
          <w:p>
            <w:pPr>
              <w:pStyle w:val="null3"/>
              <w:jc w:val="left"/>
            </w:pPr>
            <w:r>
              <w:rPr/>
              <w:t>根据采购需求中的相关要求，对投标人为本项目提供的项目重点、难点和关键点分析及合理化建议（包括①项目重点、难点和关键点分析；②针对重难点的合理化建议）进行评审： （1）能根据采购需求中的相关要求提出项目重点、难点和关键点分析，每列举一项得1分，本小项最高得5分； （2）根据上述的重点、难点和关键点分析提出的合理化建议，每提出一条合理化建议得1分，本小项最高得5分。</w:t>
            </w:r>
          </w:p>
        </w:tc>
      </w:tr>
      <w:tr>
        <w:tc>
          <w:tcPr>
            <w:tcW w:type="dxa" w:w="922"/>
            <w:gridSpan w:val="2"/>
            <w:vMerge/>
          </w:tcPr>
          <w:p/>
        </w:tc>
        <w:tc>
          <w:tcPr>
            <w:tcW w:type="dxa" w:w="2307"/>
          </w:tcPr>
          <w:p>
            <w:pPr>
              <w:pStyle w:val="null3"/>
              <w:jc w:val="left"/>
            </w:pPr>
            <w:r>
              <w:rPr/>
              <w:t>工作计划及推进进度安排 (6.0分)</w:t>
            </w:r>
          </w:p>
        </w:tc>
        <w:tc>
          <w:tcPr>
            <w:tcW w:type="dxa" w:w="5076"/>
          </w:tcPr>
          <w:p>
            <w:pPr>
              <w:pStyle w:val="null3"/>
              <w:jc w:val="left"/>
            </w:pPr>
            <w:r>
              <w:rPr/>
              <w:t>根据采购需求中的工期要求，对投标人为本项目提供的工作计划及推进进度安排进行评审： （1）能提供工作计划及推进进度安排的，得1分，不提供不得分。 （2）结合采购需求，在满足第（1）项的基础上： ①具有详细、完整的工作计划，工作时间安排合理，优于采购需求的，得5分； ②具有基本完整的工作计划，工作时间安排基本合理，满足采购需求的，得3分； ③具有工作计划简略，工作时间安排有缺漏，部分满足采购需求的，得1分； ④未提供对应方案或方案不符合采购需求的，不得分。</w:t>
            </w:r>
          </w:p>
        </w:tc>
      </w:tr>
      <w:tr>
        <w:tc>
          <w:tcPr>
            <w:tcW w:type="dxa" w:w="922"/>
            <w:gridSpan w:val="2"/>
            <w:vMerge/>
          </w:tcPr>
          <w:p/>
        </w:tc>
        <w:tc>
          <w:tcPr>
            <w:tcW w:type="dxa" w:w="2307"/>
          </w:tcPr>
          <w:p>
            <w:pPr>
              <w:pStyle w:val="null3"/>
              <w:jc w:val="left"/>
            </w:pPr>
            <w:r>
              <w:rPr/>
              <w:t>质量保障方案 (7.0分)</w:t>
            </w:r>
          </w:p>
        </w:tc>
        <w:tc>
          <w:tcPr>
            <w:tcW w:type="dxa" w:w="5076"/>
          </w:tcPr>
          <w:p>
            <w:pPr>
              <w:pStyle w:val="null3"/>
              <w:jc w:val="left"/>
            </w:pPr>
            <w:r>
              <w:rPr/>
              <w:t>根据采购需求中的质量保障要求，对投标人为本项目提供的质量保障方案（①质量保证措施；②对规划长期跟踪研究服务）进行评审： （1）能提供包含上述两项内容的质量保障方案的，得2分，不提供不得分。 （2）结合采购需求，在满足第（1）项的基础上： ①质量保证措施具体，对规划长期跟踪研究服务切实可行，质量保障方案优于采购需求的，得5分； ②质量保证措施基本完整，对规划长期跟踪研究服务基本可行，质量保障方案满足采购需求的，得3分； ③质量保证措施简略，对规划长期跟踪研究服务可行性一般，质量保障方案部分满足采购需求的，得1分； ④未提供对应方案或方案不符合采购需求的，不得分。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同类业绩经验 (10.0分)</w:t>
            </w:r>
          </w:p>
        </w:tc>
        <w:tc>
          <w:tcPr>
            <w:tcW w:type="dxa" w:w="5076"/>
          </w:tcPr>
          <w:p>
            <w:pPr>
              <w:pStyle w:val="null3"/>
              <w:jc w:val="left"/>
            </w:pPr>
            <w:r>
              <w:rPr/>
              <w:t>投标人自2021年1月1日至今（以合同签订时间为准），承担过同类型项目业绩的，每提供一个得1分，本小项最高得10分。 注：提供有效合同证明材料关键页复印件（含签订合同双方的单位名称、合同项目名称、合同清单或合同概况、签订合同双方的落款盖章、签订日期的关键页）并加盖投标人公章，否则不得分。</w:t>
            </w:r>
          </w:p>
        </w:tc>
      </w:tr>
      <w:tr>
        <w:tc>
          <w:tcPr>
            <w:tcW w:type="dxa" w:w="922"/>
            <w:gridSpan w:val="2"/>
            <w:vMerge/>
          </w:tcPr>
          <w:p/>
        </w:tc>
        <w:tc>
          <w:tcPr>
            <w:tcW w:type="dxa" w:w="2307"/>
          </w:tcPr>
          <w:p>
            <w:pPr>
              <w:pStyle w:val="null3"/>
              <w:jc w:val="left"/>
            </w:pPr>
            <w:r>
              <w:rPr/>
              <w:t>管理体系认证证书 (3.0分)</w:t>
            </w:r>
          </w:p>
        </w:tc>
        <w:tc>
          <w:tcPr>
            <w:tcW w:type="dxa" w:w="5076"/>
          </w:tcPr>
          <w:p>
            <w:pPr>
              <w:pStyle w:val="null3"/>
              <w:jc w:val="left"/>
            </w:pPr>
            <w:r>
              <w:rPr/>
              <w:t>投标人具有有效期内的质量管理体系认证证书、环境管理体系认证证书、职业健康安全管理体系认证证书，每提供一项证书得1分，最高得3分。 注：提供上述有效期内的证书复印件加盖公章，且需同时提供在全国认证认可信息公共服务平台（http://cx.cnca.cn/）的信息查询截图打印页，否则不得分。新成立的公司因实施运行不满3个月无法办理认证证书的，可对应得分。</w:t>
            </w:r>
          </w:p>
        </w:tc>
      </w:tr>
      <w:tr>
        <w:tc>
          <w:tcPr>
            <w:tcW w:type="dxa" w:w="922"/>
            <w:gridSpan w:val="2"/>
            <w:vMerge/>
          </w:tcPr>
          <w:p/>
        </w:tc>
        <w:tc>
          <w:tcPr>
            <w:tcW w:type="dxa" w:w="2307"/>
          </w:tcPr>
          <w:p>
            <w:pPr>
              <w:pStyle w:val="null3"/>
              <w:jc w:val="left"/>
            </w:pPr>
            <w:r>
              <w:rPr/>
              <w:t>项目负责人（限一人） (7.0分)</w:t>
            </w:r>
          </w:p>
        </w:tc>
        <w:tc>
          <w:tcPr>
            <w:tcW w:type="dxa" w:w="5076"/>
          </w:tcPr>
          <w:p>
            <w:pPr>
              <w:pStyle w:val="null3"/>
              <w:jc w:val="left"/>
            </w:pPr>
            <w:r>
              <w:rPr/>
              <w:t>（1）具有城市（乡）规划专业正高级职称，且获得职称证书3年（含）以上的，得7分； （2）具有城市（乡）规划专业正高级职称，且获得职称证书3年（不含）-2年（不含）的，得5分； （3）具有城市（乡）规划专业正高级职称，且获得职称证书2年（含）-1年（不含）的，得3分； （4）具有城市（乡）规划专业正高级职称，且获得职称证书1年（含）以下的，得1分； （5）本项最高得7分，其他不得分。 注：起算时间以项目负责人取得的城市（乡）规划专业正高级职称证书的颁发日期起算。提供投入本项目负责人的有效职称证书及投标人单位为其缴纳的在投标截止前6个月内其中任意一月社保证明文件（或劳动合同复印件），并加盖投标人单位公章，否则不得分，无提供或其他不得分。</w:t>
            </w:r>
          </w:p>
        </w:tc>
      </w:tr>
      <w:tr>
        <w:tc>
          <w:tcPr>
            <w:tcW w:type="dxa" w:w="922"/>
            <w:gridSpan w:val="2"/>
            <w:vMerge/>
          </w:tcPr>
          <w:p/>
        </w:tc>
        <w:tc>
          <w:tcPr>
            <w:tcW w:type="dxa" w:w="2307"/>
          </w:tcPr>
          <w:p>
            <w:pPr>
              <w:pStyle w:val="null3"/>
              <w:jc w:val="left"/>
            </w:pPr>
            <w:r>
              <w:rPr/>
              <w:t>投入本项目技术团队人员（项目负责人除外） (20.0分)</w:t>
            </w:r>
          </w:p>
        </w:tc>
        <w:tc>
          <w:tcPr>
            <w:tcW w:type="dxa" w:w="5076"/>
          </w:tcPr>
          <w:p>
            <w:pPr>
              <w:pStyle w:val="null3"/>
              <w:jc w:val="left"/>
            </w:pPr>
            <w:r>
              <w:rPr/>
              <w:t>投标人拟派本项目人员（不包括项目负责人）中具有以下专业背景的： （1）具有城市（乡）规划专业正高级职称的，每提供一人得3分，最高得9分；具有城市（乡）规划专业副高级职称的，每提供一人得2分，最高得6分。本小项最高累计可得9分。 （2）具有建筑学、市政路桥、给水排水设计专业正高级职称的，每提供一人得2分，最高得6分；具有建筑学、市政路桥、给水排水设计专业副高级职称的，每提供一人得1分，最高得3分。注：同一人具有多个专业的职称证书不重复计分，不同人员拥有相同专业类别的职称证书不重复计分，本小项最高累计可得6分。 （3）具有建筑结构、风景园林专业副高级或以上职称人员，每提供一人得2.5分，最高得5分；具有建筑结构、风景园林专业中级职称人员，每提供一人得1.5分，最高得3分。注：同一人具有多个专业的职称证书不重复计分，不同人员拥有相同专业的职称证书不重复计分，本小项最高累计可得5分。 注：本项最高累计可得20分。1、投标时须提供以下材料：满足要求的职称证书复印件。2、投标人单位为项目团队人员缴纳的在本项目投标截止日前6个月内其中任意1个月的社保证明或劳动合同复印件。3、上述资料须加盖投标人公章。4、同一人具备多种职称证书的，按最高得分计算一次，不可累计或重复计算。</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价格分应当采用低价优先法计算，即满足招标文件要求且投标价格最低的投标报价为评标基准价，其价格分为满分（最低报价不是中标的唯一依据）。其他投标人的价格分统一按照下列公式计算： 投标报价得分=(评标基准价／投标报价)×10。 备注：1、因落实政府采购政策进行价格调整的，以调整后的价格计算评标基准价和投标报价，详见《价格扣除》；2、投标报价得分四舍五入后，小数点后保留两位有效数。</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22"/>
        <w:jc w:val="left"/>
      </w:pPr>
      <w:r>
        <w:rPr>
          <w:sz w:val="24"/>
          <w:b/>
        </w:rPr>
        <w:t>合同编号：</w:t>
      </w:r>
    </w:p>
    <w:p>
      <w:pPr>
        <w:pStyle w:val="null3"/>
        <w:ind w:firstLine="640"/>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640"/>
        <w:jc w:val="center"/>
      </w:pPr>
      <w:r>
        <w:rPr>
          <w:sz w:val="27"/>
        </w:rPr>
        <w:t>项目名称：</w:t>
      </w:r>
      <w:r>
        <w:rPr>
          <w:sz w:val="27"/>
          <w:u w:val="single"/>
        </w:rPr>
        <w:t>城维计划-城市设计编制及技术咨询服务（黄埔涌沿岸滨水公共空间设计）</w:t>
      </w:r>
    </w:p>
    <w:p>
      <w:pPr>
        <w:pStyle w:val="null3"/>
        <w:ind w:firstLine="640"/>
        <w:jc w:val="both"/>
      </w:pPr>
      <w:r>
        <w:rPr/>
        <w:t xml:space="preserve"> </w:t>
      </w:r>
    </w:p>
    <w:p>
      <w:pPr>
        <w:pStyle w:val="null3"/>
        <w:ind w:firstLine="640"/>
        <w:jc w:val="both"/>
      </w:pPr>
      <w:r>
        <w:rPr>
          <w:sz w:val="27"/>
        </w:rPr>
        <w:t>委托方：（甲方）</w:t>
      </w:r>
      <w:r>
        <w:rPr>
          <w:sz w:val="27"/>
          <w:u w:val="single"/>
        </w:rPr>
        <w:t>广州市规划和自然资源局</w:t>
      </w:r>
    </w:p>
    <w:p>
      <w:pPr>
        <w:pStyle w:val="null3"/>
        <w:ind w:firstLine="640"/>
        <w:jc w:val="both"/>
      </w:pPr>
      <w:r>
        <w:rPr/>
        <w:t xml:space="preserve"> </w:t>
      </w:r>
    </w:p>
    <w:p>
      <w:pPr>
        <w:pStyle w:val="null3"/>
        <w:ind w:firstLine="640"/>
        <w:jc w:val="both"/>
      </w:pPr>
      <w:r>
        <w:rPr>
          <w:sz w:val="27"/>
        </w:rPr>
        <w:t>受托方：（乙方）</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sz w:val="27"/>
        </w:rPr>
        <w:t>签订时间：</w:t>
      </w:r>
      <w:r>
        <w:rPr>
          <w:sz w:val="27"/>
          <w:u w:val="single"/>
        </w:rPr>
        <w:t xml:space="preserve">   年   月</w:t>
      </w:r>
    </w:p>
    <w:p>
      <w:pPr>
        <w:pStyle w:val="null3"/>
        <w:ind w:firstLine="640"/>
        <w:jc w:val="both"/>
      </w:pPr>
      <w:r>
        <w:rPr/>
        <w:t xml:space="preserve"> </w:t>
      </w:r>
    </w:p>
    <w:p>
      <w:pPr>
        <w:pStyle w:val="null3"/>
        <w:ind w:firstLine="640"/>
        <w:jc w:val="both"/>
      </w:pPr>
      <w:r>
        <w:rPr>
          <w:sz w:val="27"/>
        </w:rPr>
        <w:t>签订地点：</w:t>
      </w:r>
      <w:r>
        <w:rPr>
          <w:sz w:val="27"/>
          <w:u w:val="single"/>
        </w:rPr>
        <w:t>中国广州市</w:t>
      </w:r>
    </w:p>
    <w:p>
      <w:pPr>
        <w:pStyle w:val="null3"/>
        <w:ind w:firstLine="640"/>
        <w:jc w:val="both"/>
      </w:pPr>
      <w:r>
        <w:rPr/>
        <w:t xml:space="preserve"> </w:t>
      </w:r>
    </w:p>
    <w:p>
      <w:pPr>
        <w:pStyle w:val="null3"/>
        <w:ind w:firstLine="640"/>
        <w:jc w:val="both"/>
      </w:pPr>
      <w:r>
        <w:rPr>
          <w:sz w:val="27"/>
        </w:rPr>
        <w:t>有效期限：</w:t>
      </w:r>
      <w:r>
        <w:rPr>
          <w:sz w:val="27"/>
          <w:u w:val="single"/>
        </w:rPr>
        <w:t xml:space="preserve">   年   月</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t xml:space="preserve"> </w:t>
      </w:r>
    </w:p>
    <w:p>
      <w:pPr>
        <w:pStyle w:val="null3"/>
        <w:ind w:firstLine="560"/>
        <w:jc w:val="both"/>
      </w:pPr>
      <w:r>
        <w:rPr/>
        <w:t xml:space="preserve"> </w:t>
      </w:r>
    </w:p>
    <w:p>
      <w:pPr>
        <w:pStyle w:val="null3"/>
        <w:ind w:firstLine="560"/>
        <w:jc w:val="center"/>
      </w:pPr>
      <w:r>
        <w:rPr>
          <w:sz w:val="27"/>
        </w:rPr>
        <w:t>中华人民共和国科学技术部印制</w:t>
      </w:r>
    </w:p>
    <w:p>
      <w:pPr>
        <w:pStyle w:val="null3"/>
        <w:ind w:firstLine="560"/>
        <w:jc w:val="center"/>
      </w:pPr>
      <w:r>
        <w:rPr/>
        <w:t xml:space="preserve"> </w:t>
      </w:r>
    </w:p>
    <w:p>
      <w:pPr>
        <w:pStyle w:val="null3"/>
        <w:ind w:firstLine="560"/>
        <w:jc w:val="center"/>
      </w:pPr>
      <w:r>
        <w:rPr/>
        <w:t xml:space="preserve"> </w:t>
      </w:r>
    </w:p>
    <w:p>
      <w:pPr>
        <w:pStyle w:val="null3"/>
        <w:ind w:firstLine="560"/>
        <w:jc w:val="center"/>
      </w:pPr>
      <w:r>
        <w:rPr/>
        <w:t xml:space="preserve"> </w:t>
      </w:r>
    </w:p>
    <w:p>
      <w:pPr>
        <w:pStyle w:val="null3"/>
        <w:jc w:val="center"/>
      </w:pPr>
      <w:r>
        <w:rPr>
          <w:sz w:val="30"/>
          <w:b/>
        </w:rPr>
        <w:t>填写说明</w:t>
      </w:r>
    </w:p>
    <w:p>
      <w:pPr>
        <w:pStyle w:val="null3"/>
        <w:ind w:firstLine="420"/>
        <w:jc w:val="both"/>
      </w:pPr>
      <w:r>
        <w:rPr>
          <w:sz w:val="24"/>
        </w:rPr>
        <w:t>一、本合同为中华人民共和国科学技术部印制的技术服务合同示范文本，各技术合同认定登记机构可推介技术合同当事人参照使用。</w:t>
      </w:r>
    </w:p>
    <w:p>
      <w:pPr>
        <w:pStyle w:val="null3"/>
        <w:ind w:firstLine="560"/>
        <w:jc w:val="both"/>
      </w:pPr>
      <w:r>
        <w:rPr>
          <w:sz w:val="24"/>
        </w:rPr>
        <w:t>二、本合同书适用于一方当事人（受托方）以技术知识为另一方（委托方）解决特定技术问题所订立的合同。</w:t>
      </w:r>
    </w:p>
    <w:p>
      <w:pPr>
        <w:pStyle w:val="null3"/>
        <w:ind w:firstLine="560"/>
        <w:jc w:val="both"/>
      </w:pPr>
      <w:r>
        <w:rPr>
          <w:sz w:val="24"/>
        </w:rPr>
        <w:t>三、签约一方为多个当事人的，可按各自在合同关系中的作用等，在“委托方”、“受托方”项下（增页）分别排列为共同委托人或共同受托人。</w:t>
      </w:r>
    </w:p>
    <w:p>
      <w:pPr>
        <w:pStyle w:val="null3"/>
        <w:ind w:firstLine="560"/>
        <w:jc w:val="both"/>
      </w:pPr>
      <w:r>
        <w:rPr>
          <w:sz w:val="24"/>
        </w:rPr>
        <w:t>四、本合同书未尽事项，可由当事人附页另行约定，并作为本合同的组成部分。</w:t>
      </w:r>
    </w:p>
    <w:p>
      <w:pPr>
        <w:pStyle w:val="null3"/>
        <w:ind w:firstLine="560"/>
        <w:jc w:val="both"/>
      </w:pPr>
      <w:r>
        <w:rPr>
          <w:sz w:val="24"/>
        </w:rPr>
        <w:t>五、当事人使用本合同书时约定无需填写的条款，应在该条款处注明“无”等字样。</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jc w:val="center"/>
      </w:pPr>
      <w:r>
        <w:rPr>
          <w:sz w:val="27"/>
          <w:b/>
        </w:rPr>
        <w:t>技术服务合同</w:t>
      </w:r>
    </w:p>
    <w:p>
      <w:pPr>
        <w:pStyle w:val="null3"/>
        <w:ind w:firstLine="482"/>
        <w:jc w:val="both"/>
      </w:pPr>
      <w:r>
        <w:rPr>
          <w:sz w:val="24"/>
          <w:b/>
        </w:rPr>
        <w:t>委托方（甲方）：</w:t>
      </w:r>
      <w:r>
        <w:rPr>
          <w:sz w:val="24"/>
          <w:u w:val="single"/>
        </w:rPr>
        <w:t>广州市规划和自然资源局</w:t>
      </w:r>
    </w:p>
    <w:p>
      <w:pPr>
        <w:pStyle w:val="null3"/>
        <w:ind w:firstLine="480"/>
        <w:jc w:val="both"/>
      </w:pPr>
      <w:r>
        <w:rPr>
          <w:sz w:val="24"/>
        </w:rPr>
        <w:t>住  所  地：</w:t>
      </w:r>
      <w:r>
        <w:rPr>
          <w:sz w:val="24"/>
          <w:u w:val="single"/>
        </w:rPr>
        <w:t>广州市越秀区吉祥路80号</w:t>
      </w:r>
    </w:p>
    <w:p>
      <w:pPr>
        <w:pStyle w:val="null3"/>
        <w:ind w:firstLine="480"/>
        <w:jc w:val="both"/>
      </w:pPr>
      <w:r>
        <w:rPr>
          <w:sz w:val="24"/>
        </w:rPr>
        <w:t>法定代表人：</w:t>
      </w:r>
      <w:r>
        <w:rPr>
          <w:sz w:val="24"/>
          <w:u w:val="single"/>
        </w:rPr>
        <w:t xml:space="preserve"> 邓毛颖</w:t>
      </w:r>
    </w:p>
    <w:p>
      <w:pPr>
        <w:pStyle w:val="null3"/>
        <w:ind w:firstLine="480"/>
        <w:jc w:val="both"/>
      </w:pPr>
      <w:r>
        <w:rPr>
          <w:sz w:val="24"/>
        </w:rPr>
        <w:t>项目联系人：</w:t>
      </w:r>
      <w:r>
        <w:rPr>
          <w:sz w:val="24"/>
          <w:u w:val="single"/>
        </w:rPr>
        <w:t>宁勇军，黄俊杰</w:t>
      </w:r>
    </w:p>
    <w:p>
      <w:pPr>
        <w:pStyle w:val="null3"/>
        <w:ind w:firstLine="480"/>
        <w:jc w:val="both"/>
      </w:pPr>
      <w:r>
        <w:rPr>
          <w:sz w:val="24"/>
        </w:rPr>
        <w:t>联系方式 ：</w:t>
      </w:r>
      <w:r>
        <w:rPr>
          <w:sz w:val="24"/>
          <w:u w:val="single"/>
        </w:rPr>
        <w:t>020-83197105</w:t>
      </w:r>
    </w:p>
    <w:p>
      <w:pPr>
        <w:pStyle w:val="null3"/>
        <w:ind w:firstLine="480"/>
        <w:jc w:val="both"/>
      </w:pPr>
      <w:r>
        <w:rPr>
          <w:sz w:val="24"/>
        </w:rPr>
        <w:t>通讯地址：</w:t>
      </w:r>
      <w:r>
        <w:rPr>
          <w:sz w:val="24"/>
          <w:u w:val="single"/>
        </w:rPr>
        <w:t>广州市越秀区吉祥路80号</w:t>
      </w:r>
    </w:p>
    <w:p>
      <w:pPr>
        <w:pStyle w:val="null3"/>
        <w:ind w:firstLine="480"/>
        <w:jc w:val="both"/>
      </w:pPr>
      <w:r>
        <w:rPr>
          <w:sz w:val="24"/>
        </w:rPr>
        <w:t>传真：</w:t>
      </w:r>
    </w:p>
    <w:p>
      <w:pPr>
        <w:pStyle w:val="null3"/>
        <w:ind w:firstLine="482"/>
        <w:jc w:val="both"/>
      </w:pPr>
      <w:r>
        <w:rPr>
          <w:sz w:val="24"/>
          <w:b/>
        </w:rPr>
        <w:t>受托方（乙方）：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 ：</w:t>
      </w:r>
    </w:p>
    <w:p>
      <w:pPr>
        <w:pStyle w:val="null3"/>
        <w:ind w:firstLine="480"/>
        <w:jc w:val="both"/>
      </w:pPr>
      <w:r>
        <w:rPr>
          <w:sz w:val="24"/>
        </w:rPr>
        <w:t>通讯地址：</w:t>
      </w:r>
    </w:p>
    <w:p>
      <w:pPr>
        <w:pStyle w:val="null3"/>
        <w:ind w:firstLine="480"/>
        <w:jc w:val="both"/>
      </w:pPr>
      <w:r>
        <w:rPr>
          <w:sz w:val="24"/>
        </w:rPr>
        <w:t>传 真：</w:t>
      </w:r>
    </w:p>
    <w:p>
      <w:pPr>
        <w:pStyle w:val="null3"/>
        <w:ind w:firstLine="480"/>
        <w:jc w:val="both"/>
      </w:pPr>
      <w:r>
        <w:rPr>
          <w:sz w:val="24"/>
        </w:rPr>
        <w:t>电子信箱：</w:t>
      </w:r>
    </w:p>
    <w:p>
      <w:pPr>
        <w:pStyle w:val="null3"/>
        <w:jc w:val="both"/>
      </w:pPr>
      <w:r>
        <w:rPr>
          <w:sz w:val="24"/>
        </w:rPr>
        <w:t>本合同甲方委托乙方就</w:t>
      </w:r>
      <w:r>
        <w:rPr>
          <w:sz w:val="24"/>
          <w:b/>
          <w:u w:val="single"/>
        </w:rPr>
        <w:t>城维计划-城市设计编制及技术咨询服务（黄埔涌沿岸滨水公共空间设计）</w:t>
      </w:r>
      <w:r>
        <w:rPr>
          <w:sz w:val="24"/>
        </w:rPr>
        <w:t>的专项技术服务，并支付相应的技术服务报酬。双方经过平等协商，在真实、充分地表达各自意愿的基础上，根据《中华人民共和国民法典》的规定，达成如下协议，并由双方共同恪守。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第一条：甲方委托乙方进行技术服务的内容如下：</w:t>
      </w:r>
    </w:p>
    <w:p>
      <w:pPr>
        <w:pStyle w:val="null3"/>
        <w:ind w:firstLine="480"/>
        <w:jc w:val="both"/>
      </w:pPr>
      <w:r>
        <w:rPr>
          <w:sz w:val="24"/>
        </w:rPr>
        <w:t>一、基础分析</w:t>
      </w:r>
    </w:p>
    <w:p>
      <w:pPr>
        <w:pStyle w:val="null3"/>
        <w:ind w:firstLine="480"/>
        <w:jc w:val="both"/>
      </w:pPr>
      <w:r>
        <w:rPr>
          <w:sz w:val="24"/>
        </w:rPr>
        <w:t>（一）区域分析与价值研判</w:t>
      </w:r>
    </w:p>
    <w:p>
      <w:pPr>
        <w:pStyle w:val="null3"/>
        <w:ind w:firstLine="480"/>
        <w:jc w:val="both"/>
      </w:pPr>
      <w:r>
        <w:rPr>
          <w:sz w:val="24"/>
        </w:rPr>
        <w:t>面向广州推进实现老城市新活力、“四个出新出彩”和中国式现代化的发展要求，从区域发展格局出发，提出黄埔涌对于广州未来城市发展意义和发展机遇。</w:t>
      </w:r>
    </w:p>
    <w:p>
      <w:pPr>
        <w:pStyle w:val="null3"/>
        <w:ind w:firstLine="480"/>
        <w:jc w:val="both"/>
      </w:pPr>
      <w:r>
        <w:rPr>
          <w:sz w:val="24"/>
        </w:rPr>
        <w:t>（二）国内外经验研究</w:t>
      </w:r>
    </w:p>
    <w:p>
      <w:pPr>
        <w:pStyle w:val="null3"/>
        <w:ind w:firstLine="480"/>
        <w:jc w:val="both"/>
      </w:pPr>
      <w:r>
        <w:rPr>
          <w:sz w:val="24"/>
        </w:rPr>
        <w:t>研究国内外知</w:t>
      </w:r>
      <w:r>
        <w:rPr>
          <w:sz w:val="24"/>
          <w:color w:val="FFFFFF"/>
        </w:rPr>
        <w:t>.</w:t>
      </w:r>
      <w:r>
        <w:rPr>
          <w:sz w:val="24"/>
        </w:rPr>
        <w:t>名滨水公共空间两岸的设施、功能、主题、慢行组织等案例，分析其规划建设经验，对比出黄埔涌两岸空间和功能短板，提炼对黄埔涌两岸公共空间建设的启示。</w:t>
      </w:r>
    </w:p>
    <w:p>
      <w:pPr>
        <w:pStyle w:val="null3"/>
        <w:ind w:firstLine="480"/>
        <w:jc w:val="both"/>
      </w:pPr>
      <w:r>
        <w:rPr>
          <w:sz w:val="24"/>
        </w:rPr>
        <w:t>二、总体公共空间设计</w:t>
      </w:r>
    </w:p>
    <w:p>
      <w:pPr>
        <w:pStyle w:val="null3"/>
        <w:ind w:firstLine="480"/>
        <w:jc w:val="both"/>
      </w:pPr>
      <w:r>
        <w:rPr>
          <w:sz w:val="24"/>
        </w:rPr>
        <w:t>（一）现状特征研究</w:t>
      </w:r>
    </w:p>
    <w:p>
      <w:pPr>
        <w:pStyle w:val="null3"/>
        <w:ind w:firstLine="480"/>
        <w:jc w:val="both"/>
      </w:pPr>
      <w:r>
        <w:rPr>
          <w:sz w:val="24"/>
        </w:rPr>
        <w:t>对黄埔涌两岸滨水公共空间进行调研摸查，结合慢行系统、用地权属、现状建设限制条件等影响因子进行研究，分析现状发展特征及存在问题。</w:t>
      </w:r>
    </w:p>
    <w:p>
      <w:pPr>
        <w:pStyle w:val="null3"/>
        <w:ind w:firstLine="480"/>
        <w:jc w:val="both"/>
      </w:pPr>
      <w:r>
        <w:rPr>
          <w:sz w:val="24"/>
        </w:rPr>
        <w:t>（二）总体公共空间设计方案</w:t>
      </w:r>
    </w:p>
    <w:p>
      <w:pPr>
        <w:pStyle w:val="null3"/>
        <w:ind w:firstLine="480"/>
        <w:jc w:val="both"/>
      </w:pPr>
      <w:r>
        <w:rPr>
          <w:sz w:val="24"/>
        </w:rPr>
        <w:t>梳理黄埔涌两岸历史、文化、生态及产业资源，提出黄埔涌两岸滨水公共空间规划定位和总体目标等，并从岸线贯通、腹地联动、增补配套设施等系统性角度对片区总体空间形态、公共空间系统、慢行及道路交通组织等进行分析评价，并提出针对性优化策略，形成总体公共空间设计方案。</w:t>
      </w:r>
    </w:p>
    <w:p>
      <w:pPr>
        <w:pStyle w:val="null3"/>
        <w:ind w:firstLine="480"/>
        <w:jc w:val="both"/>
      </w:pPr>
      <w:r>
        <w:rPr>
          <w:sz w:val="24"/>
        </w:rPr>
        <w:t>三、重要公共空间节点设计</w:t>
      </w:r>
    </w:p>
    <w:p>
      <w:pPr>
        <w:pStyle w:val="null3"/>
        <w:ind w:firstLine="480"/>
        <w:jc w:val="both"/>
      </w:pPr>
      <w:r>
        <w:rPr>
          <w:sz w:val="24"/>
        </w:rPr>
        <w:t>（一）重要公共空间节点设计方案</w:t>
      </w:r>
    </w:p>
    <w:p>
      <w:pPr>
        <w:pStyle w:val="null3"/>
        <w:ind w:firstLine="480"/>
        <w:jc w:val="both"/>
      </w:pPr>
      <w:r>
        <w:rPr>
          <w:sz w:val="24"/>
        </w:rPr>
        <w:t>研究选取重要公共空间节点，针对黄埔涌两岸公共空间具体场地平面布局、配套设施、城市家具、绿植景观等方面开展详细设计，形成重要节点城市设计方案，并根据设计方案梳理形成近远期实施建议，指导下一步建设实施，成果包括：</w:t>
      </w:r>
    </w:p>
    <w:p>
      <w:pPr>
        <w:pStyle w:val="null3"/>
        <w:ind w:firstLine="480"/>
        <w:jc w:val="both"/>
      </w:pPr>
      <w:r>
        <w:rPr>
          <w:sz w:val="24"/>
        </w:rPr>
        <w:t>（1）场地平面布局：结合场地及周边环境、人群需求合理确定节点主题和设计风格，设置户外活动、停留休憩、绿化种植等空间，动静分区清晰，流线衔接合理。</w:t>
      </w:r>
    </w:p>
    <w:p>
      <w:pPr>
        <w:pStyle w:val="null3"/>
        <w:ind w:firstLine="480"/>
        <w:jc w:val="both"/>
      </w:pPr>
      <w:r>
        <w:rPr>
          <w:sz w:val="24"/>
        </w:rPr>
        <w:t>（2）设施配套：结合场地功能和日常休闲需求，研究如服务驿站、wifi亭等必要的公共设施，并考虑设施造型的美观性、安全性和可持续性，为市民提供便利。</w:t>
      </w:r>
    </w:p>
    <w:p>
      <w:pPr>
        <w:pStyle w:val="null3"/>
        <w:ind w:firstLine="480"/>
        <w:jc w:val="both"/>
      </w:pPr>
      <w:r>
        <w:rPr>
          <w:sz w:val="24"/>
        </w:rPr>
        <w:t>（3）城市家具：从舒适度和便利度角度考虑设置公共座椅、垃圾桶、照明、标识标牌、艺术雕塑等城市家具，其色彩、材质和造型样式应符合场地及周边整体风貌和人文特色。</w:t>
      </w:r>
    </w:p>
    <w:p>
      <w:pPr>
        <w:pStyle w:val="null3"/>
        <w:ind w:firstLine="480"/>
        <w:jc w:val="both"/>
      </w:pPr>
      <w:r>
        <w:rPr>
          <w:sz w:val="24"/>
        </w:rPr>
        <w:t>（4）绿化配置：根据广州气候条件和节点主题，选择适配的乔木、灌木和地被等植物，创造出具有层次感和立体感的绿化景观，增强公园的美感和生态效益。</w:t>
      </w:r>
    </w:p>
    <w:p>
      <w:pPr>
        <w:pStyle w:val="null3"/>
        <w:ind w:firstLine="480"/>
        <w:jc w:val="both"/>
      </w:pPr>
      <w:r>
        <w:rPr>
          <w:sz w:val="24"/>
        </w:rPr>
        <w:t>（二）空间效果展示</w:t>
      </w:r>
    </w:p>
    <w:p>
      <w:pPr>
        <w:pStyle w:val="null3"/>
        <w:ind w:firstLine="480"/>
        <w:jc w:val="both"/>
      </w:pPr>
      <w:r>
        <w:rPr>
          <w:sz w:val="24"/>
        </w:rPr>
        <w:t>选取合适视角，对重要公共空间节点制作实景融入效果图，有效表达设计理念与设计手法。</w:t>
      </w:r>
    </w:p>
    <w:p>
      <w:pPr>
        <w:pStyle w:val="null3"/>
        <w:ind w:firstLine="482"/>
        <w:jc w:val="both"/>
      </w:pPr>
      <w:r>
        <w:rPr>
          <w:sz w:val="24"/>
          <w:b/>
        </w:rPr>
        <w:t>第二条：乙方应按下列要求完成技术服务工作：</w:t>
      </w:r>
    </w:p>
    <w:p>
      <w:pPr>
        <w:pStyle w:val="null3"/>
        <w:ind w:firstLine="480"/>
        <w:jc w:val="both"/>
      </w:pPr>
      <w:r>
        <w:rPr>
          <w:sz w:val="24"/>
        </w:rPr>
        <w:t>1．技术服务地点：</w:t>
      </w:r>
      <w:r>
        <w:rPr>
          <w:sz w:val="24"/>
          <w:u w:val="single"/>
        </w:rPr>
        <w:t xml:space="preserve">  广州市。</w:t>
      </w:r>
    </w:p>
    <w:p>
      <w:pPr>
        <w:pStyle w:val="null3"/>
        <w:ind w:firstLine="480"/>
        <w:jc w:val="both"/>
      </w:pPr>
      <w:r>
        <w:rPr>
          <w:sz w:val="24"/>
        </w:rPr>
        <w:t>2．技术服务期限：</w:t>
      </w:r>
      <w:r>
        <w:rPr>
          <w:sz w:val="24"/>
          <w:u w:val="single"/>
        </w:rPr>
        <w:t>签订合同之日起至2025年12月31日完成。</w:t>
      </w:r>
    </w:p>
    <w:p>
      <w:pPr>
        <w:pStyle w:val="null3"/>
        <w:ind w:firstLine="480"/>
        <w:jc w:val="both"/>
      </w:pPr>
      <w:r>
        <w:rPr>
          <w:sz w:val="24"/>
        </w:rPr>
        <w:t>3．技术服务进度：</w:t>
      </w:r>
      <w:r>
        <w:rPr>
          <w:sz w:val="24"/>
          <w:u w:val="single"/>
        </w:rPr>
        <w:t>2025年4月30日前提交中期成果，2025年9月30日前提交最终成果。</w:t>
      </w:r>
    </w:p>
    <w:p>
      <w:pPr>
        <w:pStyle w:val="null3"/>
        <w:ind w:firstLine="480"/>
        <w:jc w:val="both"/>
      </w:pPr>
      <w:r>
        <w:rPr>
          <w:sz w:val="24"/>
        </w:rPr>
        <w:t>4．技术服务质量要求：</w:t>
      </w:r>
      <w:r>
        <w:rPr>
          <w:sz w:val="24"/>
          <w:u w:val="single"/>
        </w:rPr>
        <w:t>工作成果应符合国家、省、市相关法律、法规、条例、政策文件、规范、标准以及本项目采购需求的要求。</w:t>
      </w:r>
    </w:p>
    <w:p>
      <w:pPr>
        <w:pStyle w:val="null3"/>
        <w:ind w:firstLine="480"/>
        <w:jc w:val="both"/>
      </w:pPr>
      <w:r>
        <w:rPr>
          <w:sz w:val="24"/>
        </w:rPr>
        <w:t>5．技术服务质量期限要求：</w:t>
      </w:r>
      <w:r>
        <w:rPr>
          <w:sz w:val="24"/>
          <w:u w:val="single"/>
        </w:rPr>
        <w:t>与合同及工作需要期限一致。</w:t>
      </w:r>
    </w:p>
    <w:p>
      <w:pPr>
        <w:pStyle w:val="null3"/>
        <w:ind w:firstLine="482"/>
        <w:jc w:val="both"/>
      </w:pPr>
      <w:r>
        <w:rPr>
          <w:sz w:val="24"/>
          <w:b/>
        </w:rPr>
        <w:t>第三条：为保证乙方有效进行技术服务工作，甲方应当向乙方提供下列工作条件和协作事项：</w:t>
      </w:r>
    </w:p>
    <w:p>
      <w:pPr>
        <w:pStyle w:val="null3"/>
        <w:ind w:firstLine="480"/>
        <w:jc w:val="both"/>
      </w:pPr>
      <w:r>
        <w:rPr>
          <w:sz w:val="24"/>
        </w:rPr>
        <w:t>1．提供技术资料：</w:t>
      </w:r>
      <w:r>
        <w:rPr>
          <w:sz w:val="24"/>
          <w:u w:val="single"/>
        </w:rPr>
        <w:t>与本项目相关的文件资料，具体与乙方协商确定。</w:t>
      </w:r>
    </w:p>
    <w:p>
      <w:pPr>
        <w:pStyle w:val="null3"/>
        <w:ind w:firstLine="480"/>
        <w:jc w:val="both"/>
      </w:pPr>
      <w:r>
        <w:rPr>
          <w:sz w:val="24"/>
        </w:rPr>
        <w:t>2．提供工作条件：</w:t>
      </w:r>
      <w:r>
        <w:rPr>
          <w:sz w:val="24"/>
          <w:u w:val="single"/>
        </w:rPr>
        <w:t>负责项目成果评审组织、技术协调、技术服务费申请。</w:t>
      </w:r>
    </w:p>
    <w:p>
      <w:pPr>
        <w:pStyle w:val="null3"/>
        <w:ind w:firstLine="480"/>
        <w:jc w:val="both"/>
      </w:pPr>
      <w:r>
        <w:rPr>
          <w:sz w:val="24"/>
        </w:rPr>
        <w:t>3．甲方提供上述工作条件和协作事项的时间及方式：</w:t>
      </w:r>
      <w:r>
        <w:rPr>
          <w:sz w:val="24"/>
          <w:u w:val="single"/>
        </w:rPr>
        <w:t>与本项目相关的文件资料在双方协商确定清单后15个工作日内提供。</w:t>
      </w:r>
    </w:p>
    <w:p>
      <w:pPr>
        <w:pStyle w:val="null3"/>
        <w:ind w:firstLine="482"/>
        <w:jc w:val="both"/>
      </w:pPr>
      <w:r>
        <w:rPr>
          <w:sz w:val="24"/>
          <w:b/>
        </w:rPr>
        <w:t>第四条：甲方向乙方支付技术服务报酬及支付方式为：</w:t>
      </w:r>
    </w:p>
    <w:p>
      <w:pPr>
        <w:pStyle w:val="null3"/>
        <w:ind w:firstLine="480"/>
        <w:jc w:val="both"/>
      </w:pPr>
      <w:r>
        <w:rPr>
          <w:sz w:val="24"/>
        </w:rPr>
        <w:t>1．技术服务费总额为：</w:t>
      </w:r>
      <w:r>
        <w:rPr>
          <w:sz w:val="24"/>
          <w:u w:val="single"/>
        </w:rPr>
        <w:t>人民币    万元(¥     元)。</w:t>
      </w:r>
    </w:p>
    <w:p>
      <w:pPr>
        <w:pStyle w:val="null3"/>
        <w:ind w:firstLine="480"/>
        <w:jc w:val="both"/>
      </w:pPr>
      <w:r>
        <w:rPr>
          <w:sz w:val="24"/>
        </w:rPr>
        <w:t>2．技术服务费由甲方</w:t>
      </w:r>
      <w:r>
        <w:rPr>
          <w:sz w:val="24"/>
          <w:u w:val="single"/>
        </w:rPr>
        <w:t>分三期</w:t>
      </w:r>
      <w:r>
        <w:rPr>
          <w:sz w:val="24"/>
        </w:rPr>
        <w:t>支付乙方。</w:t>
      </w:r>
    </w:p>
    <w:p>
      <w:pPr>
        <w:pStyle w:val="null3"/>
        <w:ind w:firstLine="480"/>
        <w:jc w:val="both"/>
      </w:pPr>
      <w:r>
        <w:rPr>
          <w:sz w:val="24"/>
        </w:rPr>
        <w:t>3．乙方须根据甲方分期支付的技术服务费开具相应的发票金额，在甲方支付技术服务费的5个工作日前，乙方应向甲方提供相应金额的正式完税发票。</w:t>
      </w:r>
    </w:p>
    <w:p>
      <w:pPr>
        <w:pStyle w:val="null3"/>
        <w:ind w:firstLine="480"/>
        <w:jc w:val="both"/>
      </w:pPr>
      <w:r>
        <w:rPr>
          <w:sz w:val="24"/>
        </w:rPr>
        <w:t>4．乙方提供上述合法有效发票是甲方付款的前提条件，逾期不提供的，甲方可以顺延付款时间并无需承担任何责任。乙方不按合同约定提供发票给甲方造成损失的，由乙方承担。</w:t>
      </w:r>
    </w:p>
    <w:p>
      <w:pPr>
        <w:pStyle w:val="null3"/>
        <w:ind w:firstLine="480"/>
        <w:jc w:val="both"/>
      </w:pPr>
      <w:r>
        <w:rPr>
          <w:sz w:val="24"/>
        </w:rPr>
        <w:t>具体支付方式和时间如下：</w:t>
      </w:r>
    </w:p>
    <w:p>
      <w:pPr>
        <w:pStyle w:val="null3"/>
        <w:ind w:firstLine="480"/>
        <w:jc w:val="both"/>
      </w:pPr>
      <w:r>
        <w:rPr>
          <w:sz w:val="24"/>
        </w:rPr>
        <w:t>（1）甲方自收到发票后5个工作日内向乙方支付本项目合同总金额的50%。预计在2024年11月30日前支付第一期费用。</w:t>
      </w:r>
    </w:p>
    <w:p>
      <w:pPr>
        <w:pStyle w:val="null3"/>
        <w:ind w:firstLine="480"/>
        <w:jc w:val="both"/>
      </w:pPr>
      <w:r>
        <w:rPr>
          <w:sz w:val="24"/>
        </w:rPr>
        <w:t>（2）乙方完成中期成果并通过审查后，甲方自收到发票后5个工作日向乙方支付本项目合同总金额的40%。预计在2025年5月31日前支付第二期费用。</w:t>
      </w:r>
    </w:p>
    <w:p>
      <w:pPr>
        <w:pStyle w:val="null3"/>
        <w:ind w:firstLine="480"/>
        <w:jc w:val="both"/>
      </w:pPr>
      <w:r>
        <w:rPr>
          <w:sz w:val="24"/>
        </w:rPr>
        <w:t>（3）乙方完成终期成果并通过审查后，甲方自收到发票后5个工作日向乙方支付本项目合同总金额的10%。预计在2025年11月30日前支付第三期费用。</w:t>
      </w:r>
    </w:p>
    <w:p>
      <w:pPr>
        <w:pStyle w:val="null3"/>
        <w:ind w:firstLine="480"/>
        <w:jc w:val="both"/>
      </w:pPr>
      <w:r>
        <w:rPr>
          <w:sz w:val="24"/>
        </w:rPr>
        <w:t>（4）因甲方使用财政资金，甲方在规定时间内办理支付手续即视为已经按时支付，具体到账时间以财政拨款为准。</w:t>
      </w:r>
    </w:p>
    <w:p>
      <w:pPr>
        <w:pStyle w:val="null3"/>
        <w:ind w:firstLine="480"/>
        <w:jc w:val="both"/>
      </w:pPr>
      <w:r>
        <w:rPr>
          <w:sz w:val="24"/>
        </w:rPr>
        <w:t>乙方开户银行名称、地址和账号为：</w:t>
      </w:r>
    </w:p>
    <w:p>
      <w:pPr>
        <w:pStyle w:val="null3"/>
        <w:ind w:firstLine="480"/>
        <w:jc w:val="both"/>
      </w:pPr>
      <w:r>
        <w:rPr>
          <w:sz w:val="24"/>
        </w:rPr>
        <w:t>开户名称：</w:t>
      </w:r>
    </w:p>
    <w:p>
      <w:pPr>
        <w:pStyle w:val="null3"/>
        <w:ind w:firstLine="480"/>
        <w:jc w:val="both"/>
      </w:pPr>
      <w:r>
        <w:rPr>
          <w:sz w:val="24"/>
        </w:rPr>
        <w:t>开户银行：</w:t>
      </w:r>
    </w:p>
    <w:p>
      <w:pPr>
        <w:pStyle w:val="null3"/>
        <w:ind w:firstLine="480"/>
        <w:jc w:val="both"/>
      </w:pPr>
      <w:r>
        <w:rPr>
          <w:sz w:val="24"/>
        </w:rPr>
        <w:t>地 址：</w:t>
      </w:r>
    </w:p>
    <w:p>
      <w:pPr>
        <w:pStyle w:val="null3"/>
        <w:ind w:firstLine="480"/>
        <w:jc w:val="both"/>
      </w:pPr>
      <w:r>
        <w:rPr>
          <w:sz w:val="24"/>
        </w:rPr>
        <w:t>账 号：</w:t>
      </w:r>
    </w:p>
    <w:p>
      <w:pPr>
        <w:pStyle w:val="null3"/>
        <w:ind w:firstLine="482"/>
        <w:jc w:val="both"/>
      </w:pPr>
      <w:r>
        <w:rPr>
          <w:sz w:val="24"/>
          <w:b/>
        </w:rPr>
        <w:t>第五条：双方确定因履行本合同应遵守的保密义务如下：</w:t>
      </w:r>
    </w:p>
    <w:p>
      <w:pPr>
        <w:pStyle w:val="null3"/>
        <w:ind w:firstLine="480"/>
        <w:jc w:val="both"/>
      </w:pPr>
      <w:r>
        <w:rPr>
          <w:sz w:val="24"/>
        </w:rPr>
        <w:t>甲方：</w:t>
      </w:r>
    </w:p>
    <w:p>
      <w:pPr>
        <w:pStyle w:val="null3"/>
        <w:ind w:firstLine="480"/>
        <w:jc w:val="both"/>
      </w:pPr>
      <w:r>
        <w:rPr>
          <w:sz w:val="24"/>
        </w:rPr>
        <w:t>1</w:t>
      </w:r>
      <w:r>
        <w:rPr>
          <w:sz w:val="24"/>
        </w:rPr>
        <w:t>．</w:t>
      </w:r>
      <w:r>
        <w:rPr>
          <w:sz w:val="24"/>
        </w:rPr>
        <w:t>保密内容（包括技术信息和经营信息）：</w:t>
      </w:r>
      <w:r>
        <w:rPr>
          <w:sz w:val="24"/>
          <w:u w:val="single"/>
        </w:rPr>
        <w:t>与本次工作有关的信息和资料。</w:t>
      </w:r>
    </w:p>
    <w:p>
      <w:pPr>
        <w:pStyle w:val="null3"/>
        <w:ind w:firstLine="480"/>
        <w:jc w:val="both"/>
      </w:pPr>
      <w:r>
        <w:rPr>
          <w:sz w:val="24"/>
        </w:rPr>
        <w:t>2．涉密人员范围：</w:t>
      </w:r>
      <w:r>
        <w:rPr>
          <w:sz w:val="24"/>
          <w:u w:val="single"/>
        </w:rPr>
        <w:t>参与本次工作的全体人员。</w:t>
      </w:r>
    </w:p>
    <w:p>
      <w:pPr>
        <w:pStyle w:val="null3"/>
        <w:ind w:firstLine="480"/>
        <w:jc w:val="both"/>
      </w:pPr>
      <w:r>
        <w:rPr>
          <w:sz w:val="24"/>
        </w:rPr>
        <w:t>3</w:t>
      </w:r>
      <w:r>
        <w:rPr>
          <w:sz w:val="24"/>
        </w:rPr>
        <w:t>．</w:t>
      </w:r>
      <w:r>
        <w:rPr>
          <w:sz w:val="24"/>
        </w:rPr>
        <w:t>保密期限：</w:t>
      </w:r>
      <w:r>
        <w:rPr>
          <w:sz w:val="24"/>
          <w:u w:val="single"/>
        </w:rPr>
        <w:t>（1）一般资料的保密期限与项目期限一致；（2）涉密资料按照《中华人民共和国保守国家秘密法》有关保密期限规定执行；（3）具体可根据甲方要求再作协商。</w:t>
      </w:r>
    </w:p>
    <w:p>
      <w:pPr>
        <w:pStyle w:val="null3"/>
        <w:ind w:firstLine="480"/>
        <w:jc w:val="both"/>
      </w:pPr>
      <w:r>
        <w:rPr>
          <w:sz w:val="24"/>
        </w:rPr>
        <w:t>4．泄密责任：</w:t>
      </w:r>
      <w:r>
        <w:rPr>
          <w:sz w:val="24"/>
          <w:u w:val="single"/>
        </w:rPr>
        <w:t>按照法律规定承担有关责任。</w:t>
      </w:r>
    </w:p>
    <w:p>
      <w:pPr>
        <w:pStyle w:val="null3"/>
        <w:ind w:firstLine="480"/>
        <w:jc w:val="both"/>
      </w:pPr>
      <w:r>
        <w:rPr>
          <w:sz w:val="24"/>
        </w:rPr>
        <w:t>乙方：</w:t>
      </w:r>
    </w:p>
    <w:p>
      <w:pPr>
        <w:pStyle w:val="null3"/>
        <w:ind w:firstLine="480"/>
        <w:jc w:val="both"/>
      </w:pPr>
      <w:r>
        <w:rPr>
          <w:sz w:val="24"/>
        </w:rPr>
        <w:t xml:space="preserve">1．保密内容（包括技术信息和经营信息）: </w:t>
      </w:r>
      <w:r>
        <w:rPr>
          <w:sz w:val="24"/>
          <w:u w:val="single"/>
        </w:rPr>
        <w:t>与本次工作有关的信息和资料。</w:t>
      </w:r>
    </w:p>
    <w:p>
      <w:pPr>
        <w:pStyle w:val="null3"/>
        <w:ind w:firstLine="480"/>
        <w:jc w:val="both"/>
      </w:pPr>
      <w:r>
        <w:rPr>
          <w:sz w:val="24"/>
        </w:rPr>
        <w:t xml:space="preserve">2．涉密人员范围: </w:t>
      </w:r>
      <w:r>
        <w:rPr>
          <w:sz w:val="24"/>
          <w:u w:val="single"/>
        </w:rPr>
        <w:t>参与本次工作的全体人员。</w:t>
      </w:r>
    </w:p>
    <w:p>
      <w:pPr>
        <w:pStyle w:val="null3"/>
        <w:ind w:firstLine="480"/>
        <w:jc w:val="both"/>
      </w:pPr>
      <w:r>
        <w:rPr>
          <w:sz w:val="24"/>
        </w:rPr>
        <w:t>3．保密期限：</w:t>
      </w:r>
      <w:r>
        <w:rPr>
          <w:sz w:val="24"/>
          <w:u w:val="single"/>
        </w:rPr>
        <w:t>（1）一般资料的保密期限与项目期限一致；（2）涉密资料按照《中华人民共和国保守国家秘密法》有关保密期限规定执行；（3）具体可根据甲方要求再作协商。</w:t>
      </w:r>
    </w:p>
    <w:p>
      <w:pPr>
        <w:pStyle w:val="null3"/>
        <w:ind w:firstLine="480"/>
        <w:jc w:val="both"/>
      </w:pPr>
      <w:r>
        <w:rPr>
          <w:sz w:val="24"/>
        </w:rPr>
        <w:t>4．泄密责任：</w:t>
      </w:r>
      <w:r>
        <w:rPr>
          <w:sz w:val="24"/>
          <w:u w:val="single"/>
        </w:rPr>
        <w:t>按照法律规定承担有关责任。</w:t>
      </w:r>
    </w:p>
    <w:p>
      <w:pPr>
        <w:pStyle w:val="null3"/>
        <w:ind w:firstLine="482"/>
        <w:jc w:val="both"/>
      </w:pPr>
      <w:r>
        <w:rPr>
          <w:sz w:val="24"/>
          <w:b/>
        </w:rPr>
        <w:t>第六条：双方确定以下列标准和方式对乙方的技术服务工作成果进行验收：</w:t>
      </w:r>
    </w:p>
    <w:p>
      <w:pPr>
        <w:pStyle w:val="null3"/>
        <w:ind w:firstLine="480"/>
        <w:jc w:val="both"/>
      </w:pPr>
      <w:r>
        <w:rPr>
          <w:sz w:val="24"/>
        </w:rPr>
        <w:t>1．乙方完成技术服务工作的形式：</w:t>
      </w:r>
      <w:r>
        <w:rPr>
          <w:sz w:val="24"/>
          <w:u w:val="single"/>
        </w:rPr>
        <w:t>本项工作采取分阶段评审的方式，甲方负责组织审查工作，并出具审查书面意见。乙方负责提供审查和验收所必需的汇报材料和相关文件。</w:t>
      </w:r>
    </w:p>
    <w:p>
      <w:pPr>
        <w:pStyle w:val="null3"/>
        <w:ind w:firstLine="480"/>
        <w:jc w:val="both"/>
      </w:pPr>
      <w:r>
        <w:rPr>
          <w:sz w:val="24"/>
        </w:rPr>
        <w:t>2．技术服务工作成果的验收标准：</w:t>
      </w:r>
      <w:r>
        <w:rPr>
          <w:sz w:val="24"/>
          <w:u w:val="single"/>
        </w:rPr>
        <w:t>工作成果应符合国家、省、市相关法律、法规、条例、政策文件、规范、标准以及本项目采购需求的要求。</w:t>
      </w:r>
    </w:p>
    <w:p>
      <w:pPr>
        <w:pStyle w:val="null3"/>
        <w:ind w:firstLine="480"/>
        <w:jc w:val="both"/>
      </w:pPr>
      <w:r>
        <w:rPr>
          <w:sz w:val="24"/>
        </w:rPr>
        <w:t>3．技术服务工作成果的验收方法：</w:t>
      </w:r>
      <w:r>
        <w:rPr>
          <w:sz w:val="24"/>
          <w:u w:val="single"/>
        </w:rPr>
        <w:t>甲方组织验收。</w:t>
      </w:r>
    </w:p>
    <w:p>
      <w:pPr>
        <w:pStyle w:val="null3"/>
        <w:ind w:firstLine="480"/>
        <w:jc w:val="both"/>
      </w:pPr>
      <w:r>
        <w:rPr>
          <w:sz w:val="24"/>
        </w:rPr>
        <w:t>4．验收的时间和地点：</w:t>
      </w:r>
      <w:r>
        <w:rPr>
          <w:sz w:val="24"/>
          <w:u w:val="single"/>
        </w:rPr>
        <w:t xml:space="preserve">    年   月 广州。</w:t>
      </w:r>
    </w:p>
    <w:p>
      <w:pPr>
        <w:pStyle w:val="null3"/>
        <w:ind w:firstLine="482"/>
        <w:jc w:val="both"/>
      </w:pPr>
      <w:r>
        <w:rPr>
          <w:sz w:val="24"/>
          <w:b/>
        </w:rPr>
        <w:t>第七条：双方确定：</w:t>
      </w:r>
    </w:p>
    <w:p>
      <w:pPr>
        <w:pStyle w:val="null3"/>
        <w:ind w:firstLine="480"/>
        <w:jc w:val="both"/>
      </w:pPr>
      <w:r>
        <w:rPr>
          <w:sz w:val="24"/>
        </w:rPr>
        <w:t>1．在本合同有效期内，甲方利用乙方提交的技术服务工作成果所完成的新的技术成果，归甲方所有。</w:t>
      </w:r>
    </w:p>
    <w:p>
      <w:pPr>
        <w:pStyle w:val="null3"/>
        <w:ind w:firstLine="480"/>
        <w:jc w:val="both"/>
      </w:pPr>
      <w:r>
        <w:rPr>
          <w:sz w:val="24"/>
        </w:rPr>
        <w:t>2．在本合同有效期内，乙方利用甲方提供的技术资料和工作条件所完成的新的技术成果，归甲方所有。</w:t>
      </w:r>
    </w:p>
    <w:p>
      <w:pPr>
        <w:pStyle w:val="null3"/>
        <w:ind w:firstLine="480"/>
        <w:jc w:val="both"/>
      </w:pPr>
      <w:r>
        <w:rPr>
          <w:sz w:val="24"/>
        </w:rPr>
        <w:t>3．中标后不得转包。</w:t>
      </w:r>
    </w:p>
    <w:p>
      <w:pPr>
        <w:pStyle w:val="null3"/>
        <w:ind w:firstLine="482"/>
        <w:jc w:val="both"/>
      </w:pPr>
      <w:r>
        <w:rPr>
          <w:sz w:val="24"/>
          <w:b/>
        </w:rPr>
        <w:t>第八条：双方确定，按以下约定承担各自的违约责任：</w:t>
      </w:r>
    </w:p>
    <w:p>
      <w:pPr>
        <w:pStyle w:val="null3"/>
        <w:ind w:firstLine="480"/>
        <w:jc w:val="both"/>
      </w:pPr>
      <w:r>
        <w:rPr>
          <w:sz w:val="24"/>
        </w:rPr>
        <w:t>1．甲方未能及时组织成果审查以致影响乙方工作进度的，甲方应当积极采取补救措施，保障乙方按合同收取经费的权益，具体由双方协商。</w:t>
      </w:r>
    </w:p>
    <w:p>
      <w:pPr>
        <w:pStyle w:val="null3"/>
        <w:ind w:firstLine="480"/>
        <w:jc w:val="both"/>
      </w:pPr>
      <w:r>
        <w:rPr>
          <w:sz w:val="24"/>
        </w:rPr>
        <w:t>2．合同签订后，如乙方擅自中途停止或解除合同，乙方向甲方退回已收取的全部合同款项。</w:t>
      </w:r>
    </w:p>
    <w:p>
      <w:pPr>
        <w:pStyle w:val="null3"/>
        <w:ind w:firstLine="480"/>
        <w:jc w:val="both"/>
      </w:pPr>
      <w:r>
        <w:rPr>
          <w:sz w:val="24"/>
        </w:rPr>
        <w:t>3．乙方未按时提交项目成果，甲方有权延期支付下一笔合同款项，且无需承担任何法律责任。逾期累计超过60天，甲方有权解除本合同，乙方应向甲方退回已收取的全部款项。</w:t>
      </w:r>
    </w:p>
    <w:p>
      <w:pPr>
        <w:pStyle w:val="null3"/>
        <w:ind w:firstLine="480"/>
        <w:jc w:val="both"/>
      </w:pPr>
      <w:r>
        <w:rPr>
          <w:sz w:val="24"/>
        </w:rPr>
        <w:t>4．乙方提交的项目成果质量经甲方审查认为不合格的，乙方应当负责根据甲方的要求进行修改并无偿重新提供成果或无偿采取其他补救措施，直至达到本合同约定的要求。由此造成延迟提交项目成果的，甲方有权延期支付下一笔合同款项，且无需承担任何法律责任。</w:t>
      </w:r>
    </w:p>
    <w:p>
      <w:pPr>
        <w:pStyle w:val="null3"/>
        <w:ind w:firstLine="480"/>
        <w:jc w:val="both"/>
      </w:pPr>
      <w:r>
        <w:rPr>
          <w:sz w:val="24"/>
        </w:rPr>
        <w:t>5．因乙方未按时提交项目成果，或者提交项目成果质量不合格的，除按本合同第九条第3、4点承担责任外，所造成的其他后果也均由乙方承担。如造成本项目剩余资金被财政部门收回的，乙方同意免除甲方支付剩余款项的义务，同时乙方仍应当继续按照本合同要求及项目任务书要求完成本项目直至最终成果通过甲方验收，否则，乙方应向甲方退回已收取的全部款项。因项目成果不符合合同约定要求造成的任何后果均由乙方承担。</w:t>
      </w:r>
    </w:p>
    <w:p>
      <w:pPr>
        <w:pStyle w:val="null3"/>
        <w:ind w:firstLine="480"/>
        <w:jc w:val="both"/>
      </w:pPr>
      <w:r>
        <w:rPr>
          <w:sz w:val="24"/>
        </w:rPr>
        <w:t>6．未经甲乙双方同意，任何一方不得随意更改项目任务书要求及合同要求，未遵守项目任务书要求及合同要求或未经甲乙双方同意变更项目任务书要求及合同要求的，甲方有权延期支付下一笔合同款项，且无需承担任何法律责任。</w:t>
      </w:r>
    </w:p>
    <w:p>
      <w:pPr>
        <w:pStyle w:val="null3"/>
        <w:ind w:firstLine="480"/>
        <w:jc w:val="both"/>
      </w:pPr>
      <w:r>
        <w:rPr>
          <w:sz w:val="24"/>
        </w:rPr>
        <w:t>7．甲乙双方任一方如若出现未按照本合同第五条遵守相应的保密义务，则按照法律规定承担相关责任。</w:t>
      </w:r>
    </w:p>
    <w:p>
      <w:pPr>
        <w:pStyle w:val="null3"/>
        <w:ind w:firstLine="482"/>
        <w:jc w:val="both"/>
      </w:pPr>
      <w:r>
        <w:rPr>
          <w:sz w:val="24"/>
          <w:b/>
        </w:rPr>
        <w:t>第九条：一方变更项目联系人的，应当及时以书面形式通知另一方，未及时通知并影响本合同履行或造成损失的，应承担相应的责任。</w:t>
      </w:r>
    </w:p>
    <w:p>
      <w:pPr>
        <w:pStyle w:val="null3"/>
        <w:ind w:firstLine="482"/>
        <w:jc w:val="both"/>
      </w:pPr>
      <w:r>
        <w:rPr>
          <w:sz w:val="24"/>
          <w:b/>
        </w:rPr>
        <w:t>第十条：双方确定，出现下列情形，致使本合同的履行成为不必要或不可能的，可以解除本合同：</w:t>
      </w:r>
    </w:p>
    <w:p>
      <w:pPr>
        <w:pStyle w:val="null3"/>
        <w:ind w:firstLine="480"/>
        <w:jc w:val="both"/>
      </w:pPr>
      <w:r>
        <w:rPr>
          <w:sz w:val="24"/>
        </w:rPr>
        <w:t>1．发生不可抗力；</w:t>
      </w:r>
    </w:p>
    <w:p>
      <w:pPr>
        <w:pStyle w:val="null3"/>
        <w:ind w:firstLine="480"/>
        <w:jc w:val="both"/>
      </w:pPr>
      <w:r>
        <w:rPr>
          <w:sz w:val="24"/>
        </w:rPr>
        <w:t>2．在履行期限届满前，一方明确表示或者以自己的行为表明不履行合同的；</w:t>
      </w:r>
    </w:p>
    <w:p>
      <w:pPr>
        <w:pStyle w:val="null3"/>
        <w:ind w:firstLine="480"/>
        <w:jc w:val="both"/>
      </w:pPr>
      <w:r>
        <w:rPr>
          <w:sz w:val="24"/>
        </w:rPr>
        <w:t>3．一方迟延履行合同，经催告后再合理期限内仍未履行合同的；</w:t>
      </w:r>
    </w:p>
    <w:p>
      <w:pPr>
        <w:pStyle w:val="null3"/>
        <w:ind w:firstLine="480"/>
        <w:jc w:val="both"/>
      </w:pPr>
      <w:r>
        <w:rPr>
          <w:sz w:val="24"/>
        </w:rPr>
        <w:t>4</w:t>
      </w:r>
      <w:r>
        <w:rPr>
          <w:sz w:val="24"/>
        </w:rPr>
        <w:t>．</w:t>
      </w:r>
      <w:r>
        <w:rPr>
          <w:sz w:val="24"/>
        </w:rPr>
        <w:t>一方迟延履行或者有其他违约行为致使不能实现合同目的的。</w:t>
      </w:r>
    </w:p>
    <w:p>
      <w:pPr>
        <w:pStyle w:val="null3"/>
        <w:ind w:firstLine="482"/>
        <w:jc w:val="both"/>
      </w:pPr>
      <w:r>
        <w:rPr>
          <w:sz w:val="24"/>
          <w:b/>
        </w:rPr>
        <w:t>第十一条：双方因履行本合同而发生的争议，应协商、调解解决。协商、调解不成的，确定按以下第  2  种方式处理：</w:t>
      </w:r>
    </w:p>
    <w:p>
      <w:pPr>
        <w:pStyle w:val="null3"/>
        <w:ind w:firstLine="480"/>
        <w:jc w:val="both"/>
      </w:pPr>
      <w:r>
        <w:rPr>
          <w:sz w:val="24"/>
        </w:rPr>
        <w:t>1．提交仲裁委员会仲裁；</w:t>
      </w:r>
    </w:p>
    <w:p>
      <w:pPr>
        <w:pStyle w:val="null3"/>
        <w:ind w:firstLine="480"/>
        <w:jc w:val="both"/>
      </w:pPr>
      <w:r>
        <w:rPr>
          <w:sz w:val="24"/>
        </w:rPr>
        <w:t>2．依法向甲方所在地人民法院起诉。</w:t>
      </w:r>
    </w:p>
    <w:p>
      <w:pPr>
        <w:pStyle w:val="null3"/>
        <w:ind w:firstLine="482"/>
        <w:jc w:val="both"/>
      </w:pPr>
      <w:r>
        <w:rPr>
          <w:sz w:val="24"/>
          <w:b/>
        </w:rPr>
        <w:t>第十二条：与履行本合同有关的下列技术文件，经双方确认后，为本合同的组成部分：</w:t>
      </w:r>
    </w:p>
    <w:p>
      <w:pPr>
        <w:pStyle w:val="null3"/>
        <w:ind w:firstLine="480"/>
        <w:jc w:val="both"/>
      </w:pPr>
      <w:r>
        <w:rPr>
          <w:sz w:val="24"/>
        </w:rPr>
        <w:t>1．项目任务书。</w:t>
      </w:r>
    </w:p>
    <w:p>
      <w:pPr>
        <w:pStyle w:val="null3"/>
        <w:ind w:firstLine="482"/>
        <w:jc w:val="both"/>
      </w:pPr>
      <w:r>
        <w:rPr>
          <w:sz w:val="24"/>
          <w:b/>
        </w:rPr>
        <w:t>第十三条：双方约定本合同其他相关事项为：</w:t>
      </w:r>
    </w:p>
    <w:p>
      <w:pPr>
        <w:pStyle w:val="null3"/>
        <w:ind w:firstLine="480"/>
        <w:jc w:val="both"/>
      </w:pPr>
      <w:r>
        <w:rPr>
          <w:sz w:val="24"/>
        </w:rPr>
        <w:t>1．乙方必须履行后续跟踪服务职责。</w:t>
      </w:r>
    </w:p>
    <w:p>
      <w:pPr>
        <w:pStyle w:val="null3"/>
        <w:ind w:firstLine="480"/>
        <w:jc w:val="both"/>
      </w:pPr>
      <w:r>
        <w:rPr>
          <w:sz w:val="24"/>
        </w:rPr>
        <w:t>2．乙方不得将中标项目转让或分包给他人。</w:t>
      </w:r>
    </w:p>
    <w:p>
      <w:pPr>
        <w:pStyle w:val="null3"/>
        <w:ind w:firstLine="480"/>
        <w:jc w:val="both"/>
      </w:pPr>
      <w:r>
        <w:rPr>
          <w:sz w:val="24"/>
        </w:rPr>
        <w:t>3．乙方应根据项目任务的要求，派驻1-2名技术人员驻场办公并提供驻场人员所需的办公设备，确保项目落实。</w:t>
      </w:r>
    </w:p>
    <w:p>
      <w:pPr>
        <w:pStyle w:val="null3"/>
        <w:ind w:firstLine="480"/>
        <w:jc w:val="both"/>
      </w:pPr>
      <w:r>
        <w:rPr>
          <w:sz w:val="24"/>
        </w:rPr>
        <w:t>4．技术服务团队要求：乙方所提交的项目组成员名单以及项目负责人未经书面申请并获得甲方同意，不得更换。项目汇报应由项目负责人汇报，未经甲方同意不得调整汇报人。</w:t>
      </w:r>
    </w:p>
    <w:p>
      <w:pPr>
        <w:pStyle w:val="null3"/>
        <w:ind w:firstLine="482"/>
        <w:jc w:val="both"/>
      </w:pPr>
      <w:r>
        <w:rPr>
          <w:sz w:val="24"/>
          <w:b/>
        </w:rPr>
        <w:t>第十四条：本合同一式</w:t>
      </w:r>
      <w:r>
        <w:rPr>
          <w:sz w:val="24"/>
          <w:b/>
          <w:u w:val="single"/>
        </w:rPr>
        <w:t xml:space="preserve">    </w:t>
      </w:r>
      <w:r>
        <w:rPr>
          <w:sz w:val="24"/>
          <w:b/>
        </w:rPr>
        <w:t>份，具有同等法律效力。</w:t>
      </w:r>
    </w:p>
    <w:p>
      <w:pPr>
        <w:pStyle w:val="null3"/>
        <w:ind w:firstLine="482"/>
        <w:jc w:val="both"/>
      </w:pPr>
      <w:r>
        <w:rPr>
          <w:sz w:val="24"/>
          <w:b/>
        </w:rPr>
        <w:t>第十五条：本合同经双方签字盖章后生效。</w:t>
      </w:r>
    </w:p>
    <w:p>
      <w:pPr>
        <w:pStyle w:val="null3"/>
        <w:ind w:firstLine="482"/>
        <w:jc w:val="both"/>
      </w:pPr>
      <w:r>
        <w:rPr/>
        <w:t xml:space="preserve"> </w:t>
      </w:r>
    </w:p>
    <w:p>
      <w:pPr>
        <w:pStyle w:val="null3"/>
        <w:ind w:firstLine="480"/>
        <w:jc w:val="both"/>
      </w:pPr>
      <w:r>
        <w:rPr>
          <w:sz w:val="24"/>
        </w:rPr>
        <w:t>甲方：</w:t>
      </w:r>
      <w:r>
        <w:rPr>
          <w:sz w:val="24"/>
          <w:u w:val="single"/>
        </w:rPr>
        <w:t>广州市规划和自然资源局（盖章）</w:t>
      </w:r>
    </w:p>
    <w:p>
      <w:pPr>
        <w:pStyle w:val="null3"/>
        <w:ind w:firstLine="480"/>
        <w:jc w:val="both"/>
      </w:pPr>
      <w:r>
        <w:rPr>
          <w:sz w:val="24"/>
        </w:rPr>
        <w:t>法定代表人</w:t>
      </w:r>
      <w:r>
        <w:rPr>
          <w:sz w:val="24"/>
          <w:u w:val="single"/>
        </w:rPr>
        <w:t xml:space="preserve"> 邓毛颖 </w:t>
      </w:r>
      <w:r>
        <w:rPr>
          <w:sz w:val="24"/>
        </w:rPr>
        <w:t xml:space="preserve"> 项目联系人：</w:t>
      </w:r>
      <w:r>
        <w:rPr>
          <w:sz w:val="24"/>
          <w:u w:val="single"/>
        </w:rPr>
        <w:t>　　　　 　（签名）</w:t>
      </w:r>
    </w:p>
    <w:p>
      <w:pPr>
        <w:pStyle w:val="null3"/>
        <w:ind w:firstLine="480"/>
        <w:jc w:val="both"/>
      </w:pPr>
      <w:r>
        <w:rPr>
          <w:sz w:val="24"/>
        </w:rPr>
        <w:t xml:space="preserve">                                       年     月     日</w:t>
      </w:r>
    </w:p>
    <w:p>
      <w:pPr>
        <w:pStyle w:val="null3"/>
        <w:ind w:firstLine="480"/>
        <w:jc w:val="both"/>
      </w:pPr>
      <w:r>
        <w:rPr>
          <w:sz w:val="24"/>
        </w:rPr>
        <w:t>乙方：</w:t>
      </w:r>
    </w:p>
    <w:p>
      <w:pPr>
        <w:pStyle w:val="null3"/>
        <w:ind w:firstLine="480"/>
        <w:jc w:val="both"/>
      </w:pPr>
      <w:r>
        <w:rPr>
          <w:sz w:val="24"/>
        </w:rPr>
        <w:t>法定代表人／委托代理人：</w:t>
      </w:r>
      <w:r>
        <w:rPr>
          <w:sz w:val="24"/>
          <w:u w:val="single"/>
        </w:rPr>
        <w:t>　　　　      　　（签名）</w:t>
      </w:r>
    </w:p>
    <w:p>
      <w:pPr>
        <w:pStyle w:val="null3"/>
        <w:ind w:firstLine="480"/>
        <w:jc w:val="both"/>
      </w:pPr>
      <w:r>
        <w:rPr>
          <w:sz w:val="24"/>
        </w:rPr>
        <w:t xml:space="preserve">                                       年     月     日</w:t>
      </w:r>
    </w:p>
    <w:p>
      <w:pPr>
        <w:pStyle w:val="null3"/>
        <w:ind w:firstLine="48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440101-2024-19764</w:t>
      </w:r>
    </w:p>
    <w:p>
      <w:pPr>
        <w:pStyle w:val="null3"/>
        <w:jc w:val="center"/>
        <w:outlineLvl w:val="3"/>
      </w:pPr>
      <w:r>
        <w:rPr>
          <w:sz w:val="24"/>
          <w:b/>
        </w:rPr>
        <w:t>采购项目编号：</w:t>
      </w:r>
      <w:r>
        <w:rPr>
          <w:sz w:val="24"/>
          <w:b/>
        </w:rPr>
        <w:t>GZCQC2400FG08008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城维计划-城市设计编制及技术咨询服务（黄埔涌沿岸滨水公共空间设计）</w:t>
      </w:r>
      <w:r>
        <w:rPr>
          <w:u w:val="single"/>
        </w:rPr>
        <w:t>”</w:t>
      </w:r>
      <w:r>
        <w:rPr/>
        <w:t>项目的招标[采购项目编号为：</w:t>
      </w:r>
      <w:r>
        <w:rPr>
          <w:u w:val="single"/>
        </w:rPr>
        <w:t>GZCQC2400FG08008</w:t>
      </w:r>
      <w:r>
        <w:rPr/>
        <w:t>]，我方愿参与投标。</w:t>
      </w:r>
    </w:p>
    <w:p>
      <w:pPr>
        <w:pStyle w:val="null3"/>
        <w:ind w:firstLine="480"/>
      </w:pPr>
      <w:r>
        <w:rPr/>
        <w:t>我方确认收到贵方提供的</w:t>
      </w:r>
      <w:r>
        <w:rPr>
          <w:u w:val="single"/>
        </w:rPr>
        <w:t>“</w:t>
      </w:r>
      <w:r>
        <w:rPr>
          <w:u w:val="single"/>
        </w:rPr>
        <w:t>城维计划-城市设计编制及技术咨询服务（黄埔涌沿岸滨水公共空间设计）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城维计划-城市设计编制及技术咨询服务（黄埔涌沿岸滨水公共空间设计）</w:t>
      </w:r>
      <w:r>
        <w:rPr/>
        <w:t>”项目采购[采购项目编号为</w:t>
      </w:r>
      <w:r>
        <w:rPr/>
        <w:t>GZCQC2400FG08008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城维计划-城市设计编制及技术咨询服务（黄埔涌沿岸滨水公共空间设计）</w:t>
      </w:r>
      <w:r>
        <w:rPr/>
        <w:t>招标中获中标（采购项目编号：</w:t>
      </w:r>
      <w:r>
        <w:rPr/>
        <w:t>GZCQC2400FG08008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