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440114-2024-05381</w:t>
      </w:r>
    </w:p>
    <w:p>
      <w:pPr>
        <w:pStyle w:val="null3"/>
        <w:jc w:val="center"/>
        <w:outlineLvl w:val="3"/>
      </w:pPr>
      <w:r>
        <w:rPr>
          <w:sz w:val="24"/>
          <w:b/>
        </w:rPr>
        <w:t>采购项目编号：</w:t>
      </w:r>
      <w:r>
        <w:rPr>
          <w:sz w:val="24"/>
          <w:b/>
        </w:rPr>
        <w:t>GZCQC2400FG04001</w:t>
      </w:r>
    </w:p>
    <w:p>
      <w:pPr>
        <w:pStyle w:val="null3"/>
        <w:jc w:val="center"/>
        <w:outlineLvl w:val="3"/>
      </w:pPr>
      <w:r>
        <w:rPr>
          <w:sz w:val="24"/>
          <w:b/>
        </w:rPr>
        <w:t>项目名称：</w:t>
      </w:r>
      <w:r>
        <w:rPr>
          <w:sz w:val="24"/>
          <w:b/>
        </w:rPr>
        <w:t>花都区2024年度耕地保护专项工作技术服务项目</w:t>
      </w:r>
    </w:p>
    <w:p>
      <w:pPr>
        <w:pStyle w:val="null3"/>
        <w:jc w:val="center"/>
        <w:outlineLvl w:val="3"/>
      </w:pPr>
      <w:r>
        <w:rPr>
          <w:sz w:val="24"/>
          <w:b/>
        </w:rPr>
        <w:t>采购人：</w:t>
      </w:r>
      <w:r>
        <w:rPr>
          <w:sz w:val="24"/>
          <w:b/>
        </w:rPr>
        <w:t>广州市规划和自然资源局花都区分局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广州市规划和自然资源局花都区分局</w:t>
      </w:r>
      <w:r>
        <w:rPr/>
        <w:t>的委托，采用</w:t>
      </w:r>
      <w:r>
        <w:rPr/>
        <w:t>公开招标</w:t>
      </w:r>
      <w:r>
        <w:rPr/>
        <w:t>方式组织采购</w:t>
      </w:r>
      <w:r>
        <w:rPr/>
        <w:t>花都区2024年度耕地保护专项工作技术服务项目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花都区2024年度耕地保护专项工作技术服务项目</w:t>
      </w:r>
    </w:p>
    <w:p>
      <w:pPr>
        <w:pStyle w:val="null3"/>
        <w:ind w:firstLine="480"/>
      </w:pPr>
      <w:r>
        <w:rPr/>
        <w:t>采购计划编号：</w:t>
      </w:r>
      <w:r>
        <w:rPr/>
        <w:t>440114-2024-05381</w:t>
      </w:r>
    </w:p>
    <w:p>
      <w:pPr>
        <w:pStyle w:val="null3"/>
        <w:ind w:firstLine="480"/>
      </w:pPr>
      <w:r>
        <w:rPr/>
        <w:t>采购项目编号：</w:t>
      </w:r>
      <w:r>
        <w:rPr/>
        <w:t>GZCQC2400FG04001</w:t>
      </w:r>
    </w:p>
    <w:p>
      <w:pPr>
        <w:pStyle w:val="null3"/>
        <w:ind w:firstLine="480"/>
      </w:pPr>
      <w:r>
        <w:rPr/>
        <w:t>采购方式：</w:t>
      </w:r>
      <w:r>
        <w:rPr/>
        <w:t>公开招标</w:t>
      </w:r>
    </w:p>
    <w:p>
      <w:pPr>
        <w:pStyle w:val="null3"/>
        <w:ind w:firstLine="480"/>
      </w:pPr>
      <w:r>
        <w:rPr/>
        <w:t>预算金额：</w:t>
      </w:r>
      <w:r>
        <w:rPr/>
        <w:t>4,509,000.00</w:t>
      </w:r>
      <w:r>
        <w:rPr/>
        <w:t>元</w:t>
      </w:r>
    </w:p>
    <w:p>
      <w:pPr>
        <w:pStyle w:val="null3"/>
        <w:outlineLvl w:val="3"/>
      </w:pPr>
      <w:r>
        <w:rPr>
          <w:sz w:val="24"/>
          <w:b/>
        </w:rPr>
        <w:t>2.项目内容及需求情况（采购项目技术规格、参数及要求）</w:t>
      </w:r>
    </w:p>
    <w:p>
      <w:pPr>
        <w:pStyle w:val="null3"/>
      </w:pPr>
      <w:r>
        <w:rPr/>
        <w:t>采购包1(花都区2024年度耕地保护专项工作技术服务项目):</w:t>
      </w:r>
    </w:p>
    <w:p>
      <w:pPr>
        <w:pStyle w:val="null3"/>
      </w:pPr>
      <w:r>
        <w:rPr/>
        <w:t>采购包预算金额：4,509,000.00元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农业、林业类合作服务</w:t>
            </w:r>
          </w:p>
        </w:tc>
        <w:tc>
          <w:tcPr>
            <w:tcW w:type="dxa" w:w="2136"/>
          </w:tcPr>
          <w:p>
            <w:pPr>
              <w:pStyle w:val="null3"/>
            </w:pPr>
            <w:r>
              <w:rPr/>
              <w:t>花都区2024年度耕地保护专项工作技术服务项目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采购包1（花都区2024年度耕地保护专项工作技术服务项目）：</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采购包1（花都区2024年度耕地保护专项工作技术服务项目）：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具有行政相关部门颁发的城乡规划编制乙级或以上资质（提供证书复印件），以联合体形式投标的，联合体牵头方须具备该资质并承担与资质相关的业务内容。（根据自然资办函〔2023〕2717号文的规定，有效期至2023年12月31日的城乡规划编制单位甲级资质证书，有效期延长至2025年12月31日；各省（自治区、直辖市）自然资源主管部门及新疆生产建设兵团自然资源局对乙级城乡规划编制单位资质的管理，可参照该通知执行。如相关主管部门有最新政策，按最新政策执行）</w:t>
      </w:r>
    </w:p>
    <w:p>
      <w:pPr>
        <w:pStyle w:val="null3"/>
      </w:pPr>
      <w:r>
        <w:rPr/>
        <w:t>6)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广州市规划和自然资源局花都区分局</w:t>
      </w:r>
    </w:p>
    <w:p>
      <w:pPr>
        <w:pStyle w:val="null3"/>
        <w:ind w:firstLine="480"/>
      </w:pPr>
      <w:r>
        <w:rPr/>
        <w:t xml:space="preserve"> 地址：</w:t>
      </w:r>
      <w:r>
        <w:rPr/>
        <w:t>广州市花都区迎宾大道5号之一</w:t>
      </w:r>
    </w:p>
    <w:p>
      <w:pPr>
        <w:pStyle w:val="null3"/>
        <w:ind w:firstLine="480"/>
      </w:pPr>
      <w:r>
        <w:rPr/>
        <w:t xml:space="preserve"> 联系方式：</w:t>
      </w:r>
      <w:r>
        <w:rPr/>
        <w:t>020-37736849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（一）工作背景</w:t>
      </w:r>
    </w:p>
    <w:p>
      <w:pPr>
        <w:pStyle w:val="null3"/>
        <w:ind w:firstLine="480"/>
        <w:jc w:val="both"/>
      </w:pPr>
      <w:r>
        <w:rPr>
          <w:sz w:val="24"/>
        </w:rPr>
        <w:t>近几年，国家多次提及“耕地保护”。在2022年底的中央农村工作会议上，总书记提出要坚决守住18亿亩耕地红线，坚决遏制“非农化”、有效防止“非粮化”。2023年中央农村工作会议提出，要“加强耕地保护和建设”，健全耕地数量、质量、生态“三位一体”保护制度体系。为贯彻落实总书记、省、市等层面对耕地保护的工作安排部署，按照耕地保护相关工作要求，开展花都区全面推行田长制、耕地保护卫片监测、耕地“进出平衡”、耕作层剥离再利用实施方案、资源质量分类年度更新、2024年耕地保护年度实施方案编制等工作。</w:t>
      </w:r>
    </w:p>
    <w:p>
      <w:pPr>
        <w:pStyle w:val="null3"/>
        <w:ind w:firstLine="482"/>
        <w:jc w:val="both"/>
      </w:pPr>
      <w:r>
        <w:rPr>
          <w:sz w:val="24"/>
          <w:b/>
        </w:rPr>
        <w:t>（二）预算金额</w:t>
      </w:r>
    </w:p>
    <w:p>
      <w:pPr>
        <w:pStyle w:val="null3"/>
        <w:ind w:firstLine="480"/>
        <w:jc w:val="both"/>
      </w:pPr>
      <w:r>
        <w:rPr>
          <w:sz w:val="24"/>
        </w:rPr>
        <w:t>预算金额为4,509,000.00元，其中2024年预算安排人民币163.5万元，2025年预算拟安排287.4万元，具体以财政局批复下达的预算为准。</w:t>
      </w:r>
    </w:p>
    <w:p>
      <w:pPr>
        <w:pStyle w:val="null3"/>
      </w:pPr>
      <w:r>
        <w:rPr/>
        <w:t>采购包1（花都区2024年度耕地保护专项工作技术服务项目）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1期：支付比例36%,合同签订后，在收到发票后按照《广州市本级财政直接支付用款申请办事指南》办理支付手续。</w:t>
            </w:r>
          </w:p>
          <w:p>
            <w:pPr>
              <w:pStyle w:val="null3"/>
            </w:pPr>
            <w:r>
              <w:rPr/>
              <w:t>2期：支付比例24%,服务项目全部完成并提交相应成果材料后，在收到发票后，按照《广州市本级财政直接支付用款申请办事指南》办理支付手续。</w:t>
            </w:r>
          </w:p>
          <w:p>
            <w:pPr>
              <w:pStyle w:val="null3"/>
            </w:pPr>
            <w:r>
              <w:rPr/>
              <w:t>3期：支付比例40%,服务成果材料通过采购人验收合格后，在收到发票后，按照《广州市本级财政直接支付用款申请办事指南》办理支付手续。 注： 上述支付指采购人在收到中标人提供付款所需资料后在规定时间内向花都区财政局提交财政直接支付申请，具体付款时间以花都区财政局具体拨款时间为准。采购人付款前，中标人应向采购人提供合法有效的等额发票，否则采购人有权拒绝付款而不构成违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1.中标人完成技术服务工作的形式：依据项目需求和采购人要求提交工作成果。 2.技术服务工作成果的验收标准：成果必须符合国家及省、市现行有效的相关规定、技术标准、管理标准和设计规范及本需求中工作内容要求等有关章节的规定。 3.技术服务工作成果的验收方法：通过相关审批部门组织的验收。 4.验收的时间和地点：验收时间由采购人另行确定，验收地点在广州市花都区。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★最高限价，本项目最高限价为4,509,000.00元，凡超出最高限价的，一律视为无效投标。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农业、林业类合作服务</w:t>
            </w:r>
          </w:p>
        </w:tc>
        <w:tc>
          <w:tcPr>
            <w:tcW w:type="dxa" w:w="933"/>
          </w:tcPr>
          <w:p>
            <w:pPr>
              <w:pStyle w:val="null3"/>
              <w:jc w:val="left"/>
            </w:pPr>
            <w:r>
              <w:rPr/>
              <w:t>花都区2024年度耕地保护专项工作技术服务项目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4,509,000.00</w:t>
            </w:r>
          </w:p>
        </w:tc>
        <w:tc>
          <w:tcPr>
            <w:tcW w:type="dxa" w:w="933"/>
          </w:tcPr>
          <w:p>
            <w:pPr>
              <w:pStyle w:val="null3"/>
              <w:jc w:val="right"/>
            </w:pPr>
            <w:r>
              <w:rPr/>
              <w:t>4,509,000.00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花都区2024年度耕地保护专项工作技术服务项目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一、编制依据</w:t>
            </w:r>
          </w:p>
          <w:p>
            <w:pPr>
              <w:pStyle w:val="null3"/>
              <w:ind w:firstLine="480"/>
              <w:jc w:val="both"/>
            </w:pPr>
            <w:r>
              <w:rPr>
                <w:sz w:val="24"/>
              </w:rPr>
              <w:t>1.《中华人民共和国土地管理法》（2019年修订）；</w:t>
            </w:r>
          </w:p>
          <w:p>
            <w:pPr>
              <w:pStyle w:val="null3"/>
              <w:ind w:firstLine="480"/>
              <w:jc w:val="both"/>
            </w:pPr>
            <w:r>
              <w:rPr>
                <w:sz w:val="24"/>
              </w:rPr>
              <w:t>2.《中华人民共和国土地管理法实施条例》（2021年修订）；</w:t>
            </w:r>
          </w:p>
          <w:p>
            <w:pPr>
              <w:pStyle w:val="null3"/>
              <w:ind w:firstLine="480"/>
              <w:jc w:val="both"/>
            </w:pPr>
            <w:r>
              <w:rPr>
                <w:sz w:val="24"/>
              </w:rPr>
              <w:t>3.《中华人民共和国基本农田保护条例》（2011年1月8日修订）；</w:t>
            </w:r>
          </w:p>
          <w:p>
            <w:pPr>
              <w:pStyle w:val="null3"/>
              <w:ind w:firstLine="480"/>
              <w:jc w:val="both"/>
            </w:pPr>
            <w:r>
              <w:rPr>
                <w:sz w:val="24"/>
              </w:rPr>
              <w:t>4.《第三次全国国土调查技术规程》（TD/T 1055-2019）；</w:t>
            </w:r>
          </w:p>
          <w:p>
            <w:pPr>
              <w:pStyle w:val="null3"/>
              <w:ind w:firstLine="480"/>
              <w:jc w:val="both"/>
            </w:pPr>
            <w:r>
              <w:rPr>
                <w:sz w:val="24"/>
              </w:rPr>
              <w:t>5.《广东省自然资源厅 广东省农业农村厅 广东省林业局关于组织开展2022年度耕地“进出平衡”等有关工作的函》（粤自然资函〔2022〕219号）；</w:t>
            </w:r>
          </w:p>
          <w:p>
            <w:pPr>
              <w:pStyle w:val="null3"/>
              <w:ind w:firstLine="480"/>
              <w:jc w:val="both"/>
            </w:pPr>
            <w:r>
              <w:rPr>
                <w:sz w:val="24"/>
              </w:rPr>
              <w:t>6.《中共广东省委办公厅 广东省人民政府办公厅印发&lt;关于全面推行田长制的实施意见&gt;的通知》（粤办发〔2023〕21号）；</w:t>
            </w:r>
          </w:p>
          <w:p>
            <w:pPr>
              <w:pStyle w:val="null3"/>
              <w:ind w:firstLine="480"/>
              <w:jc w:val="both"/>
            </w:pPr>
            <w:r>
              <w:rPr>
                <w:sz w:val="24"/>
              </w:rPr>
              <w:t>7.《自然资源部关于统筹规范耕地保护卫星遥感监测工作的通知》（自然资发〔2023〕258号）;</w:t>
            </w:r>
          </w:p>
          <w:p>
            <w:pPr>
              <w:pStyle w:val="null3"/>
              <w:ind w:firstLine="480"/>
              <w:jc w:val="both"/>
            </w:pPr>
            <w:r>
              <w:rPr>
                <w:sz w:val="24"/>
              </w:rPr>
              <w:t>8.其他相关法律法规、政策规范。</w:t>
            </w:r>
          </w:p>
        </w:tc>
      </w:tr>
      <w:tr>
        <w:tc>
          <w:tcPr>
            <w:tcW w:type="dxa" w:w="2076"/>
          </w:tcPr>
          <w:p/>
        </w:tc>
        <w:tc>
          <w:tcPr>
            <w:tcW w:type="dxa" w:w="415"/>
          </w:tcPr>
          <w:p>
            <w:pPr>
              <w:pStyle w:val="null3"/>
            </w:pPr>
            <w:r>
              <w:rPr/>
              <w:t>2</w:t>
            </w:r>
          </w:p>
        </w:tc>
        <w:tc>
          <w:tcPr>
            <w:tcW w:type="dxa" w:w="5814"/>
          </w:tcPr>
          <w:p>
            <w:pPr>
              <w:pStyle w:val="null3"/>
              <w:jc w:val="both"/>
            </w:pPr>
            <w:r>
              <w:rPr>
                <w:sz w:val="24"/>
                <w:b/>
              </w:rPr>
              <w:t>二、工作目标</w:t>
            </w:r>
          </w:p>
          <w:p>
            <w:pPr>
              <w:pStyle w:val="null3"/>
              <w:ind w:firstLine="480"/>
              <w:jc w:val="both"/>
            </w:pPr>
            <w:r>
              <w:rPr>
                <w:sz w:val="24"/>
              </w:rPr>
              <w:t>统筹协调、提前谋划2024年花都区耕地保护重点工作，按照省市的决策部署，按时保质保量全面推行田长制工作。</w:t>
            </w:r>
          </w:p>
          <w:p>
            <w:pPr>
              <w:pStyle w:val="null3"/>
              <w:ind w:firstLine="480"/>
              <w:jc w:val="both"/>
            </w:pPr>
            <w:r>
              <w:rPr>
                <w:sz w:val="24"/>
              </w:rPr>
              <w:t>按照相关文件要求及上级对耕地保护相关工作的部署，按时保质保量完成耕地资源质量分类年度更新工作和耕作层剥离再利用年度实施方案编制工作。</w:t>
            </w:r>
          </w:p>
          <w:p>
            <w:pPr>
              <w:pStyle w:val="null3"/>
              <w:ind w:firstLine="480"/>
              <w:jc w:val="both"/>
            </w:pPr>
            <w:r>
              <w:rPr>
                <w:sz w:val="24"/>
              </w:rPr>
              <w:t>应对自然资源部统筹规范耕地保护卫片监测工作的变化，强化2024年度全区耕地和永久基本农田流出和违法建设占用的日常监管，结合常态化监测工作，早发现、早处置，确保完成区内耕地保有量和永久基本农田保护任务。</w:t>
            </w:r>
          </w:p>
          <w:p>
            <w:pPr>
              <w:pStyle w:val="null3"/>
              <w:ind w:firstLine="480"/>
              <w:jc w:val="both"/>
            </w:pPr>
            <w:r>
              <w:rPr>
                <w:sz w:val="24"/>
              </w:rPr>
              <w:t>落实耕地“进出平衡”制度，合理预测耕地流出面积，分解镇街耕地流入任务，做好流入图斑填报和验收申报，确保年度内“进出平衡”的落实。</w:t>
            </w:r>
          </w:p>
          <w:p>
            <w:pPr>
              <w:pStyle w:val="null3"/>
              <w:ind w:firstLine="480"/>
              <w:jc w:val="both"/>
            </w:pPr>
            <w:r>
              <w:rPr>
                <w:sz w:val="24"/>
              </w:rPr>
              <w:t>编制耕地保护年度实施方案，科学预测耕地“进出平衡”和“总量平衡”的缺口，分析现状耕地实地“非耕化”情况，从控流出和增流入出发，为耕地保护工作保驾护航。</w:t>
            </w:r>
          </w:p>
        </w:tc>
      </w:tr>
      <w:tr>
        <w:tc>
          <w:tcPr>
            <w:tcW w:type="dxa" w:w="2076"/>
          </w:tcPr>
          <w:p/>
        </w:tc>
        <w:tc>
          <w:tcPr>
            <w:tcW w:type="dxa" w:w="415"/>
          </w:tcPr>
          <w:p>
            <w:pPr>
              <w:pStyle w:val="null3"/>
            </w:pPr>
            <w:r>
              <w:rPr/>
              <w:t>3</w:t>
            </w:r>
          </w:p>
        </w:tc>
        <w:tc>
          <w:tcPr>
            <w:tcW w:type="dxa" w:w="5814"/>
          </w:tcPr>
          <w:p>
            <w:pPr>
              <w:pStyle w:val="null3"/>
              <w:jc w:val="both"/>
            </w:pPr>
            <w:r>
              <w:rPr>
                <w:sz w:val="24"/>
                <w:b/>
              </w:rPr>
              <w:t>三、工作内容</w:t>
            </w:r>
          </w:p>
          <w:p>
            <w:pPr>
              <w:pStyle w:val="null3"/>
              <w:ind w:firstLine="482"/>
              <w:jc w:val="both"/>
            </w:pPr>
            <w:r>
              <w:rPr>
                <w:sz w:val="24"/>
                <w:b/>
              </w:rPr>
              <w:t>（一）花都区田长制推进工作</w:t>
            </w:r>
          </w:p>
          <w:p>
            <w:pPr>
              <w:pStyle w:val="null3"/>
              <w:ind w:firstLine="480"/>
              <w:jc w:val="both"/>
            </w:pPr>
            <w:r>
              <w:rPr>
                <w:sz w:val="24"/>
              </w:rPr>
              <w:t>根据省、市决策部署，按时完成推行田长制的相关工作，加快推动田长制落地实施，完成田长制网格划分、田长信息入库巡田软件、网格示意图、巡田一张图、田长制相关政策制度制定、公示牌制作和安装、宣传培训等系列工作。</w:t>
            </w:r>
          </w:p>
          <w:p>
            <w:pPr>
              <w:pStyle w:val="null3"/>
              <w:ind w:firstLine="482"/>
              <w:jc w:val="both"/>
            </w:pPr>
            <w:r>
              <w:rPr>
                <w:sz w:val="24"/>
                <w:b/>
              </w:rPr>
              <w:t>（二）耕地资源质量分类年度更新工作</w:t>
            </w:r>
          </w:p>
          <w:p>
            <w:pPr>
              <w:pStyle w:val="null3"/>
              <w:ind w:firstLine="480"/>
              <w:jc w:val="both"/>
            </w:pPr>
            <w:r>
              <w:rPr>
                <w:sz w:val="24"/>
              </w:rPr>
              <w:t>结合年度耕地变化情况，确定年度更新图层，进行实地调查，完成相关分类指标数据，生成年度数据库，完成成果编制和上报。</w:t>
            </w:r>
          </w:p>
          <w:p>
            <w:pPr>
              <w:pStyle w:val="null3"/>
              <w:ind w:firstLine="482"/>
              <w:jc w:val="both"/>
            </w:pPr>
            <w:r>
              <w:rPr>
                <w:sz w:val="24"/>
                <w:b/>
              </w:rPr>
              <w:t>（三）2024年度耕作层剥离再利用年度实施方案</w:t>
            </w:r>
          </w:p>
          <w:p>
            <w:pPr>
              <w:pStyle w:val="null3"/>
              <w:ind w:firstLine="480"/>
              <w:jc w:val="both"/>
            </w:pPr>
            <w:r>
              <w:rPr>
                <w:sz w:val="24"/>
              </w:rPr>
              <w:t>总结花都区上一年度涉及耕地耕作层剥离再利用相关工作内容，收集整理和分析本年度非农建设占用耕地的范围，开展剥离再利用地块摸查工作，完成耕地耕作层剥离再利用年度实施方案编制。</w:t>
            </w:r>
          </w:p>
          <w:p>
            <w:pPr>
              <w:pStyle w:val="null3"/>
              <w:ind w:firstLine="482"/>
              <w:jc w:val="both"/>
            </w:pPr>
            <w:r>
              <w:rPr>
                <w:sz w:val="24"/>
                <w:b/>
              </w:rPr>
              <w:t>（四）耕地保护卫片自主监测工作</w:t>
            </w:r>
          </w:p>
          <w:p>
            <w:pPr>
              <w:pStyle w:val="null3"/>
              <w:ind w:firstLine="480"/>
              <w:jc w:val="both"/>
            </w:pPr>
            <w:r>
              <w:rPr>
                <w:sz w:val="24"/>
              </w:rPr>
              <w:t>根据卫片监测任务，完成全区一至三季度和年度的耕地卫片监测图斑自主提取与外业核查。</w:t>
            </w:r>
          </w:p>
          <w:p>
            <w:pPr>
              <w:pStyle w:val="null3"/>
              <w:ind w:firstLine="480"/>
              <w:jc w:val="both"/>
            </w:pPr>
            <w:r>
              <w:rPr>
                <w:sz w:val="24"/>
              </w:rPr>
              <w:t>每季度按时提取疑似问题图斑，分析流出和破坏的耕地和永久基本农田地的情形，图斑现场核查与指导整改，验收和内业上线。</w:t>
            </w:r>
          </w:p>
          <w:p>
            <w:pPr>
              <w:pStyle w:val="null3"/>
              <w:ind w:firstLine="482"/>
              <w:jc w:val="both"/>
            </w:pPr>
            <w:r>
              <w:rPr>
                <w:sz w:val="24"/>
                <w:b/>
              </w:rPr>
              <w:t>（五）2024年度耕地“进出平衡”</w:t>
            </w:r>
          </w:p>
          <w:p>
            <w:pPr>
              <w:pStyle w:val="null3"/>
              <w:ind w:firstLine="480"/>
              <w:jc w:val="both"/>
            </w:pPr>
            <w:r>
              <w:rPr>
                <w:sz w:val="24"/>
              </w:rPr>
              <w:t>全面摸清2024年度辖区可能流出的耕地数量，合理预测耕地流出面积，摸查耕地恢复潜力，动态分析耕地流入流出情况，做好流入图斑填报和验收申报，编制进出平衡方案，完成耕地相关图斑与年度变更调查的衔接工作。</w:t>
            </w:r>
          </w:p>
          <w:p>
            <w:pPr>
              <w:pStyle w:val="null3"/>
              <w:ind w:firstLine="482"/>
              <w:jc w:val="both"/>
            </w:pPr>
            <w:r>
              <w:rPr>
                <w:sz w:val="24"/>
                <w:b/>
              </w:rPr>
              <w:t>（六）2024年度耕地保护实施方案</w:t>
            </w:r>
          </w:p>
          <w:p>
            <w:pPr>
              <w:pStyle w:val="null3"/>
              <w:ind w:firstLine="480"/>
              <w:jc w:val="both"/>
            </w:pPr>
            <w:r>
              <w:rPr>
                <w:sz w:val="24"/>
              </w:rPr>
              <w:t>结合耕地保护的五个“一票否决”，统筹谋划2024年度耕地保护专项工作，编制年度专项规划，分析预测耕地和永久基本农田流出情况，摸查耕地开垦潜力和承包到期情况，压实“控流出”任务，全面“增流入”，探索引入国企农业公司对承包合同拟到期的非耕农用地进行开垦、经营和管护，完成实施方案成果编制。</w:t>
            </w:r>
          </w:p>
        </w:tc>
      </w:tr>
      <w:tr>
        <w:tc>
          <w:tcPr>
            <w:tcW w:type="dxa" w:w="2076"/>
          </w:tcPr>
          <w:p/>
        </w:tc>
        <w:tc>
          <w:tcPr>
            <w:tcW w:type="dxa" w:w="415"/>
          </w:tcPr>
          <w:p>
            <w:pPr>
              <w:pStyle w:val="null3"/>
            </w:pPr>
            <w:r>
              <w:rPr/>
              <w:t>4</w:t>
            </w:r>
          </w:p>
        </w:tc>
        <w:tc>
          <w:tcPr>
            <w:tcW w:type="dxa" w:w="5814"/>
          </w:tcPr>
          <w:p>
            <w:pPr>
              <w:pStyle w:val="null3"/>
              <w:jc w:val="both"/>
            </w:pPr>
            <w:r>
              <w:rPr>
                <w:sz w:val="24"/>
                <w:b/>
              </w:rPr>
              <w:t>四、工作成果</w:t>
            </w:r>
          </w:p>
          <w:p>
            <w:pPr>
              <w:pStyle w:val="null3"/>
              <w:ind w:firstLine="480"/>
              <w:jc w:val="both"/>
            </w:pPr>
            <w:r>
              <w:rPr>
                <w:sz w:val="24"/>
              </w:rPr>
              <w:t>田长制工作成果包括田长制网格数据库、村级和网格田长公示示意图、村级田长巡田“一张图”、田长制公示牌、相关政策细则、宣传材料和政策培训材料。</w:t>
            </w:r>
          </w:p>
          <w:p>
            <w:pPr>
              <w:pStyle w:val="null3"/>
              <w:ind w:firstLine="480"/>
              <w:jc w:val="both"/>
            </w:pPr>
            <w:r>
              <w:rPr>
                <w:sz w:val="24"/>
              </w:rPr>
              <w:t>耕地资源质量分类年度更新工作成果包括数据库、汇总表、分析报告、其他成果等。</w:t>
            </w:r>
          </w:p>
          <w:p>
            <w:pPr>
              <w:pStyle w:val="null3"/>
              <w:ind w:firstLine="480"/>
              <w:jc w:val="both"/>
            </w:pPr>
            <w:r>
              <w:rPr>
                <w:sz w:val="24"/>
              </w:rPr>
              <w:t>2024年度耕作层剥离再利用年度实施方案工作成果包括实施方案文本、相关统计表格、图件及数据图层等。</w:t>
            </w:r>
          </w:p>
          <w:p>
            <w:pPr>
              <w:pStyle w:val="null3"/>
              <w:ind w:firstLine="480"/>
              <w:jc w:val="both"/>
            </w:pPr>
            <w:r>
              <w:rPr>
                <w:sz w:val="24"/>
              </w:rPr>
              <w:t>耕地保护卫片自主监测图斑核查工作成果主要是季度图斑提取数据库、平台填报数据。</w:t>
            </w:r>
          </w:p>
          <w:p>
            <w:pPr>
              <w:pStyle w:val="null3"/>
              <w:ind w:firstLine="480"/>
              <w:jc w:val="both"/>
            </w:pPr>
            <w:r>
              <w:rPr>
                <w:sz w:val="24"/>
              </w:rPr>
              <w:t>2024年度耕地“进出平衡”工作成果包括耕地进出平衡总体方案，含文字报告、表格、图件，以及平台填报数据。</w:t>
            </w:r>
          </w:p>
          <w:p>
            <w:pPr>
              <w:pStyle w:val="null3"/>
              <w:ind w:firstLine="480"/>
              <w:jc w:val="both"/>
            </w:pPr>
            <w:r>
              <w:rPr>
                <w:sz w:val="24"/>
              </w:rPr>
              <w:t>2024年耕地保护实施方案成果包括规划文字报告、表格、图件、相关台账数据等。</w:t>
            </w:r>
          </w:p>
        </w:tc>
      </w:tr>
      <w:tr>
        <w:tc>
          <w:tcPr>
            <w:tcW w:type="dxa" w:w="2076"/>
          </w:tcPr>
          <w:p/>
        </w:tc>
        <w:tc>
          <w:tcPr>
            <w:tcW w:type="dxa" w:w="415"/>
          </w:tcPr>
          <w:p>
            <w:pPr>
              <w:pStyle w:val="null3"/>
            </w:pPr>
            <w:r>
              <w:rPr/>
              <w:t>5</w:t>
            </w:r>
          </w:p>
        </w:tc>
        <w:tc>
          <w:tcPr>
            <w:tcW w:type="dxa" w:w="5814"/>
          </w:tcPr>
          <w:p>
            <w:pPr>
              <w:pStyle w:val="null3"/>
              <w:jc w:val="both"/>
            </w:pPr>
            <w:r>
              <w:rPr>
                <w:sz w:val="24"/>
                <w:b/>
              </w:rPr>
              <w:t>五、其他要求</w:t>
            </w:r>
          </w:p>
          <w:p>
            <w:pPr>
              <w:pStyle w:val="null3"/>
              <w:ind w:firstLine="480"/>
              <w:jc w:val="both"/>
            </w:pPr>
            <w:r>
              <w:rPr>
                <w:sz w:val="24"/>
              </w:rPr>
              <w:t>1.为使项目按质、按量、按时及有序实施，投标人需要配备不少于8人的专业技术人员，专业技术人员需具有城市（乡）规划高级（或以上）工程师职称，配合采购人开展工作。</w:t>
            </w:r>
          </w:p>
          <w:p>
            <w:pPr>
              <w:pStyle w:val="null3"/>
              <w:ind w:firstLine="480"/>
              <w:jc w:val="both"/>
            </w:pPr>
            <w:r>
              <w:rPr>
                <w:sz w:val="24"/>
              </w:rPr>
              <w:t>2.项目必须设置专门的项目负责人1人，项目负责人需具有城市（乡）规划高级（或以上）工程师职称。</w:t>
            </w:r>
          </w:p>
          <w:p>
            <w:pPr>
              <w:pStyle w:val="null3"/>
              <w:ind w:firstLine="480"/>
              <w:jc w:val="both"/>
            </w:pPr>
            <w:r>
              <w:rPr>
                <w:sz w:val="24"/>
              </w:rPr>
              <w:t>3.投标人应制定详尽的工作计划，包括但不限于：①对本项目的理解；②技术服务工作程序、流程；③重点难点分析；④质量保证措施；⑤工作进度计划及后续技术服务。全面落实执行并完成项目任务及相关工作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广州市规划和自然资源局花都区分局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花都区2024年度耕地保护专项工作技术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采购包1（花都区2024年度耕地保护专项工作技术服务项目）：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采购包1（花都区2024年度耕地保护专项工作技术服务项目）：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投标人具有行政相关部门颁发的城乡规划编制乙级或以上资质（提供证书复印件），以联合体形式投标的，联合体牵头方须具备该资质并承担与资质相关的业务内容。</w:t>
            </w:r>
          </w:p>
        </w:tc>
        <w:tc>
          <w:tcPr>
            <w:tcW w:type="dxa" w:w="4238"/>
          </w:tcPr>
          <w:p>
            <w:pPr>
              <w:pStyle w:val="null3"/>
            </w:pPr>
            <w:r>
              <w:rPr/>
              <w:t>投标人具有行政相关部门颁发的城乡规划编制乙级或以上资质（提供证书复印件），以联合体形式投标的，联合体牵头方须具备该资质并承担与资质相关的业务内容。（根据自然资办函〔2023〕2717号文的规定，有效期至2023年12月31日的城乡规划编制单位甲级资质证书，有效期延长至2025年12月31日；各省（自治区、直辖市）自然资源主管部门及新疆生产建设兵团自然资源局对乙级城乡规划编制单位资质的管理，可参照该通知执行。如相关主管部门有最新政策，按最新政策执行）</w:t>
            </w:r>
          </w:p>
        </w:tc>
      </w:tr>
      <w:tr>
        <w:tc>
          <w:tcPr>
            <w:tcW w:type="dxa" w:w="890"/>
          </w:tcPr>
          <w:p>
            <w:pPr>
              <w:pStyle w:val="null3"/>
            </w:pPr>
            <w:r>
              <w:rPr/>
              <w:t>11</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采购包1（花都区2024年度耕地保护专项工作技术服务项目）：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采购包1(花都区2024年度耕地保护专项工作技术服务项目):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对本项目的理解A (4.0分)</w:t>
            </w:r>
          </w:p>
        </w:tc>
        <w:tc>
          <w:tcPr>
            <w:tcW w:type="dxa" w:w="5076"/>
          </w:tcPr>
          <w:p>
            <w:pPr>
              <w:pStyle w:val="null3"/>
              <w:jc w:val="left"/>
            </w:pPr>
            <w:r>
              <w:rPr/>
              <w:t>根据投标人对本项目理解情况进行评审：内容包括①本项目背景和目标；②项目区域相关基础情况；③对本项目现状情况及问题的分析；④项目现行的技术标准与准则4项内容，每包含1项得1分，最高得4分。</w:t>
            </w:r>
          </w:p>
        </w:tc>
      </w:tr>
      <w:tr>
        <w:tc>
          <w:tcPr>
            <w:tcW w:type="dxa" w:w="922"/>
            <w:gridSpan w:val="2"/>
            <w:vMerge/>
          </w:tcPr>
          <w:p/>
        </w:tc>
        <w:tc>
          <w:tcPr>
            <w:tcW w:type="dxa" w:w="2307"/>
          </w:tcPr>
          <w:p>
            <w:pPr>
              <w:pStyle w:val="null3"/>
              <w:jc w:val="left"/>
            </w:pPr>
            <w:r>
              <w:rPr/>
              <w:t>对本项目的理解B (6.0分)</w:t>
            </w:r>
            <w:r>
              <w:rPr/>
              <w:t>，（等次分值选择：</w:t>
            </w:r>
            <w:r>
              <w:rPr/>
              <w:t>0.0;</w:t>
            </w:r>
            <w:r>
              <w:rPr/>
              <w:t>1.0;</w:t>
            </w:r>
            <w:r>
              <w:rPr/>
              <w:t>3.0;</w:t>
            </w:r>
            <w:r>
              <w:rPr/>
              <w:t>6.0;</w:t>
            </w:r>
            <w:r>
              <w:rPr/>
              <w:t>）</w:t>
            </w:r>
          </w:p>
        </w:tc>
        <w:tc>
          <w:tcPr>
            <w:tcW w:type="dxa" w:w="5076"/>
          </w:tcPr>
          <w:p>
            <w:pPr>
              <w:pStyle w:val="null3"/>
              <w:jc w:val="left"/>
            </w:pPr>
            <w:r>
              <w:rPr/>
              <w:t>根据“对本项目的理解A”的评审内容，投标人提供的方案优于采购需求的得6分，满足采购需求的得3分，部分满足采购需求的得1分，不满足不得分。</w:t>
            </w:r>
          </w:p>
        </w:tc>
      </w:tr>
      <w:tr>
        <w:tc>
          <w:tcPr>
            <w:tcW w:type="dxa" w:w="922"/>
            <w:gridSpan w:val="2"/>
            <w:vMerge/>
          </w:tcPr>
          <w:p/>
        </w:tc>
        <w:tc>
          <w:tcPr>
            <w:tcW w:type="dxa" w:w="2307"/>
          </w:tcPr>
          <w:p>
            <w:pPr>
              <w:pStyle w:val="null3"/>
              <w:jc w:val="left"/>
            </w:pPr>
            <w:r>
              <w:rPr/>
              <w:t>技术服务工作程序、流程A (4.0分)</w:t>
            </w:r>
          </w:p>
        </w:tc>
        <w:tc>
          <w:tcPr>
            <w:tcW w:type="dxa" w:w="5076"/>
          </w:tcPr>
          <w:p>
            <w:pPr>
              <w:pStyle w:val="null3"/>
              <w:jc w:val="left"/>
            </w:pPr>
            <w:r>
              <w:rPr/>
              <w:t>投标人根据采购需求制定符合项目发展需要的技术服务工作程序、流程进行评审：内容包括①工作内容；②技术方法；③工作流程；④项目成果4项内容，每包含1项得1分，最高得4分。</w:t>
            </w:r>
          </w:p>
        </w:tc>
      </w:tr>
      <w:tr>
        <w:tc>
          <w:tcPr>
            <w:tcW w:type="dxa" w:w="922"/>
            <w:gridSpan w:val="2"/>
            <w:vMerge/>
          </w:tcPr>
          <w:p/>
        </w:tc>
        <w:tc>
          <w:tcPr>
            <w:tcW w:type="dxa" w:w="2307"/>
          </w:tcPr>
          <w:p>
            <w:pPr>
              <w:pStyle w:val="null3"/>
              <w:jc w:val="left"/>
            </w:pPr>
            <w:r>
              <w:rPr/>
              <w:t>技术服务工作程序、流程B (6.0分)</w:t>
            </w:r>
            <w:r>
              <w:rPr/>
              <w:t>，（等次分值选择：</w:t>
            </w:r>
            <w:r>
              <w:rPr/>
              <w:t>0.0;</w:t>
            </w:r>
            <w:r>
              <w:rPr/>
              <w:t>1.0;</w:t>
            </w:r>
            <w:r>
              <w:rPr/>
              <w:t>3.0;</w:t>
            </w:r>
            <w:r>
              <w:rPr/>
              <w:t>6.0;</w:t>
            </w:r>
            <w:r>
              <w:rPr/>
              <w:t>）</w:t>
            </w:r>
          </w:p>
        </w:tc>
        <w:tc>
          <w:tcPr>
            <w:tcW w:type="dxa" w:w="5076"/>
          </w:tcPr>
          <w:p>
            <w:pPr>
              <w:pStyle w:val="null3"/>
              <w:jc w:val="left"/>
            </w:pPr>
            <w:r>
              <w:rPr/>
              <w:t>根据“技术服务工作程序、流程A”的评审内容，投标人提供的方案优于采购需求的得6分，满足采购需求的得3分，部分满足采购需求的得1分，不满足不得分。</w:t>
            </w:r>
          </w:p>
        </w:tc>
      </w:tr>
      <w:tr>
        <w:tc>
          <w:tcPr>
            <w:tcW w:type="dxa" w:w="922"/>
            <w:gridSpan w:val="2"/>
            <w:vMerge/>
          </w:tcPr>
          <w:p/>
        </w:tc>
        <w:tc>
          <w:tcPr>
            <w:tcW w:type="dxa" w:w="2307"/>
          </w:tcPr>
          <w:p>
            <w:pPr>
              <w:pStyle w:val="null3"/>
              <w:jc w:val="left"/>
            </w:pPr>
            <w:r>
              <w:rPr/>
              <w:t>重点难点分析 (8.0分)</w:t>
            </w:r>
          </w:p>
        </w:tc>
        <w:tc>
          <w:tcPr>
            <w:tcW w:type="dxa" w:w="5076"/>
          </w:tcPr>
          <w:p>
            <w:pPr>
              <w:pStyle w:val="null3"/>
              <w:jc w:val="left"/>
            </w:pPr>
            <w:r>
              <w:rPr/>
              <w:t>（1）能根据采购需求列举本项目的重难点，每列举一项得1分，本小项最高得4分； （2）根据上述的重难点提出响应的措施建议，每提出一条有效解决措施得1分，本小项最高得4分。</w:t>
            </w:r>
          </w:p>
        </w:tc>
      </w:tr>
      <w:tr>
        <w:tc>
          <w:tcPr>
            <w:tcW w:type="dxa" w:w="922"/>
            <w:gridSpan w:val="2"/>
            <w:vMerge/>
          </w:tcPr>
          <w:p/>
        </w:tc>
        <w:tc>
          <w:tcPr>
            <w:tcW w:type="dxa" w:w="2307"/>
          </w:tcPr>
          <w:p>
            <w:pPr>
              <w:pStyle w:val="null3"/>
              <w:jc w:val="left"/>
            </w:pPr>
            <w:r>
              <w:rPr/>
              <w:t>质量保证措施A (4.0分)</w:t>
            </w:r>
          </w:p>
        </w:tc>
        <w:tc>
          <w:tcPr>
            <w:tcW w:type="dxa" w:w="5076"/>
          </w:tcPr>
          <w:p>
            <w:pPr>
              <w:pStyle w:val="null3"/>
              <w:jc w:val="left"/>
            </w:pPr>
            <w:r>
              <w:rPr/>
              <w:t>投标人根据采购需求制定质量保证措施进行评审：内容包括①工作服务承诺；②质量保证措施；③质量管理目标；④后续技术服务4项内容，每包含1项得1分，最高得4分。</w:t>
            </w:r>
          </w:p>
        </w:tc>
      </w:tr>
      <w:tr>
        <w:tc>
          <w:tcPr>
            <w:tcW w:type="dxa" w:w="922"/>
            <w:gridSpan w:val="2"/>
            <w:vMerge/>
          </w:tcPr>
          <w:p/>
        </w:tc>
        <w:tc>
          <w:tcPr>
            <w:tcW w:type="dxa" w:w="2307"/>
          </w:tcPr>
          <w:p>
            <w:pPr>
              <w:pStyle w:val="null3"/>
              <w:jc w:val="left"/>
            </w:pPr>
            <w:r>
              <w:rPr/>
              <w:t>质量保证措施B (6.0分)</w:t>
            </w:r>
            <w:r>
              <w:rPr/>
              <w:t>，（等次分值选择：</w:t>
            </w:r>
            <w:r>
              <w:rPr/>
              <w:t>0.0;</w:t>
            </w:r>
            <w:r>
              <w:rPr/>
              <w:t>1.0;</w:t>
            </w:r>
            <w:r>
              <w:rPr/>
              <w:t>3.0;</w:t>
            </w:r>
            <w:r>
              <w:rPr/>
              <w:t>6.0;</w:t>
            </w:r>
            <w:r>
              <w:rPr/>
              <w:t>）</w:t>
            </w:r>
          </w:p>
        </w:tc>
        <w:tc>
          <w:tcPr>
            <w:tcW w:type="dxa" w:w="5076"/>
          </w:tcPr>
          <w:p>
            <w:pPr>
              <w:pStyle w:val="null3"/>
              <w:jc w:val="left"/>
            </w:pPr>
            <w:r>
              <w:rPr/>
              <w:t>根据“质量保证措施A”的评审内容，投标人提供的方案优于采购需求的得6分，满足采购需求的得3分，部分满足采购需求的得1分，不满足不得分。</w:t>
            </w:r>
          </w:p>
        </w:tc>
      </w:tr>
      <w:tr>
        <w:tc>
          <w:tcPr>
            <w:tcW w:type="dxa" w:w="922"/>
            <w:gridSpan w:val="2"/>
            <w:vMerge/>
          </w:tcPr>
          <w:p/>
        </w:tc>
        <w:tc>
          <w:tcPr>
            <w:tcW w:type="dxa" w:w="2307"/>
          </w:tcPr>
          <w:p>
            <w:pPr>
              <w:pStyle w:val="null3"/>
              <w:jc w:val="left"/>
            </w:pPr>
            <w:r>
              <w:rPr/>
              <w:t>工作进度计划及后续技术服务A (3.0分)</w:t>
            </w:r>
          </w:p>
        </w:tc>
        <w:tc>
          <w:tcPr>
            <w:tcW w:type="dxa" w:w="5076"/>
          </w:tcPr>
          <w:p>
            <w:pPr>
              <w:pStyle w:val="null3"/>
              <w:jc w:val="left"/>
            </w:pPr>
            <w:r>
              <w:rPr/>
              <w:t>投标人根据采购需求制定工作进度计划进行评审：内容包括①总体工作进度计划；②工作时间计划安排；③后续技术服务承诺3项内容，每包含1项得1分，最高得3分。</w:t>
            </w:r>
          </w:p>
        </w:tc>
      </w:tr>
      <w:tr>
        <w:tc>
          <w:tcPr>
            <w:tcW w:type="dxa" w:w="922"/>
            <w:gridSpan w:val="2"/>
            <w:vMerge/>
          </w:tcPr>
          <w:p/>
        </w:tc>
        <w:tc>
          <w:tcPr>
            <w:tcW w:type="dxa" w:w="2307"/>
          </w:tcPr>
          <w:p>
            <w:pPr>
              <w:pStyle w:val="null3"/>
              <w:jc w:val="left"/>
            </w:pPr>
            <w:r>
              <w:rPr/>
              <w:t>工作进度计划及后续技术服务B (4.0分)</w:t>
            </w:r>
            <w:r>
              <w:rPr/>
              <w:t>，（等次分值选择：</w:t>
            </w:r>
            <w:r>
              <w:rPr/>
              <w:t>0.0;</w:t>
            </w:r>
            <w:r>
              <w:rPr/>
              <w:t>1.0;</w:t>
            </w:r>
            <w:r>
              <w:rPr/>
              <w:t>2.0;</w:t>
            </w:r>
            <w:r>
              <w:rPr/>
              <w:t>4.0;</w:t>
            </w:r>
            <w:r>
              <w:rPr/>
              <w:t>）</w:t>
            </w:r>
          </w:p>
        </w:tc>
        <w:tc>
          <w:tcPr>
            <w:tcW w:type="dxa" w:w="5076"/>
          </w:tcPr>
          <w:p>
            <w:pPr>
              <w:pStyle w:val="null3"/>
              <w:jc w:val="left"/>
            </w:pPr>
            <w:r>
              <w:rPr/>
              <w:t>根据“工作进度计划及后续技术服务A”的评审内容，投标人提供的方案优于采购需求的得4分，满足采购需求的得2分，部分满足采购需求的得1分，不满足不得分。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(10.0分)</w:t>
            </w:r>
          </w:p>
        </w:tc>
        <w:tc>
          <w:tcPr>
            <w:tcW w:type="dxa" w:w="5076"/>
          </w:tcPr>
          <w:p>
            <w:pPr>
              <w:pStyle w:val="null3"/>
              <w:jc w:val="left"/>
            </w:pPr>
            <w:r>
              <w:rPr/>
              <w:t>自2018年1月1日至今承接过同类项目，同类项目指耕地资源质量分类更新或耕作层剥离再利用方案编制或耕地进出平衡或耕地保护项目等。 其中耕地资源质量分类更新项目每项得1分，最高得3分；耕作层剥离再利用方案编制项目每项得1分，最高得3分；耕地进出平衡项目每项得1分，最高得2分；耕地保护项目每项得1分，最高得2分；本项最高10分。 注：须在投标文件中提供项目合同的关键页（含项目名称、工作内容、签署页），时间以合同签订时间为准，否则无效。分包或劳务合作合同无效。</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投标人拟派本项目项目负责人1人，具体资格要求如下： 具有城市（乡）规划专业教授级（或正高级）高级工程师职称的，得5分；具有城市（乡）规划专业高级工程师职称的，得3分；具有城市（乡）规划专业中级工程师职称的，得1分。 本项最高得5分。 注：需提供职称证复印件或网页查询截图（显示查询链接）、投标截止日之前六个月内任意一个月的社保证明材料（免于参加社保的人员需提供相关证明材料，并加盖投标人公章。）或劳动合同复印件，否则不得分。</w:t>
            </w:r>
          </w:p>
        </w:tc>
      </w:tr>
      <w:tr>
        <w:tc>
          <w:tcPr>
            <w:tcW w:type="dxa" w:w="922"/>
            <w:gridSpan w:val="2"/>
            <w:vMerge/>
          </w:tcPr>
          <w:p/>
        </w:tc>
        <w:tc>
          <w:tcPr>
            <w:tcW w:type="dxa" w:w="2307"/>
          </w:tcPr>
          <w:p>
            <w:pPr>
              <w:pStyle w:val="null3"/>
              <w:jc w:val="left"/>
            </w:pPr>
            <w:r>
              <w:rPr/>
              <w:t>服务团队 (16.0分)</w:t>
            </w:r>
          </w:p>
        </w:tc>
        <w:tc>
          <w:tcPr>
            <w:tcW w:type="dxa" w:w="5076"/>
          </w:tcPr>
          <w:p>
            <w:pPr>
              <w:pStyle w:val="null3"/>
              <w:jc w:val="left"/>
            </w:pPr>
            <w:r>
              <w:rPr/>
              <w:t>项目组成员（不含项目负责人）： 项目团队具备城市（乡）规划高级（或以上）工程师职称的，每人得2分，最高16分。 注：需提供职称证复印件或网页查询截图（显示查询链接）、投标截止日之前六个月内任意一个月的社保证明材料（免于参加社保的人员需提供相关证明材料，并加盖投标人公章。）或劳动合同复印件，否则不得分。</w:t>
            </w:r>
          </w:p>
        </w:tc>
      </w:tr>
      <w:tr>
        <w:tc>
          <w:tcPr>
            <w:tcW w:type="dxa" w:w="922"/>
            <w:gridSpan w:val="2"/>
            <w:vMerge/>
          </w:tcPr>
          <w:p/>
        </w:tc>
        <w:tc>
          <w:tcPr>
            <w:tcW w:type="dxa" w:w="2307"/>
          </w:tcPr>
          <w:p>
            <w:pPr>
              <w:pStyle w:val="null3"/>
              <w:jc w:val="left"/>
            </w:pPr>
            <w:r>
              <w:rPr/>
              <w:t>获奖项目 (9.0分)</w:t>
            </w:r>
          </w:p>
        </w:tc>
        <w:tc>
          <w:tcPr>
            <w:tcW w:type="dxa" w:w="5076"/>
          </w:tcPr>
          <w:p>
            <w:pPr>
              <w:pStyle w:val="null3"/>
              <w:jc w:val="left"/>
            </w:pPr>
            <w:r>
              <w:rPr/>
              <w:t>投标人承接的项目获得政府部门（政府有关职能机构或行政部门）颁发的奖项的，每项得1分。本项最高得9分。 注：同一项目获得多项奖项的不可重复计分。须在投标文件中提供获奖项目证书，否则无效。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20"/>
        <w:jc w:val="left"/>
      </w:pPr>
      <w:r>
        <w:rPr/>
        <w:t xml:space="preserve"> </w:t>
      </w:r>
    </w:p>
    <w:p>
      <w:pPr>
        <w:pStyle w:val="null3"/>
        <w:ind w:firstLine="480"/>
        <w:jc w:val="both"/>
      </w:pPr>
      <w:r>
        <w:rPr>
          <w:sz w:val="24"/>
        </w:rPr>
        <w:t>合同编号：</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960"/>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项目名称：</w:t>
      </w:r>
    </w:p>
    <w:p>
      <w:pPr>
        <w:pStyle w:val="null3"/>
        <w:ind w:firstLine="426"/>
        <w:jc w:val="both"/>
      </w:pPr>
      <w:r>
        <w:rPr/>
        <w:t xml:space="preserve"> </w:t>
      </w:r>
    </w:p>
    <w:p>
      <w:pPr>
        <w:pStyle w:val="null3"/>
        <w:ind w:firstLine="426"/>
        <w:jc w:val="both"/>
      </w:pPr>
      <w:r>
        <w:rPr>
          <w:sz w:val="27"/>
        </w:rPr>
        <w:t>委 托 方：</w:t>
      </w:r>
    </w:p>
    <w:p>
      <w:pPr>
        <w:pStyle w:val="null3"/>
        <w:ind w:firstLine="426"/>
        <w:jc w:val="both"/>
      </w:pPr>
      <w:r>
        <w:rPr>
          <w:sz w:val="27"/>
        </w:rPr>
        <w:t>（甲 方）</w:t>
      </w:r>
    </w:p>
    <w:p>
      <w:pPr>
        <w:pStyle w:val="null3"/>
        <w:ind w:firstLine="426"/>
        <w:jc w:val="both"/>
      </w:pPr>
      <w:r>
        <w:rPr/>
        <w:t xml:space="preserve"> </w:t>
      </w:r>
    </w:p>
    <w:p>
      <w:pPr>
        <w:pStyle w:val="null3"/>
        <w:ind w:firstLine="426"/>
        <w:jc w:val="both"/>
      </w:pPr>
      <w:r>
        <w:rPr>
          <w:sz w:val="27"/>
        </w:rPr>
        <w:t>受 托 方：</w:t>
      </w:r>
    </w:p>
    <w:p>
      <w:pPr>
        <w:pStyle w:val="null3"/>
        <w:ind w:firstLine="426"/>
        <w:jc w:val="both"/>
      </w:pPr>
      <w:r>
        <w:rPr>
          <w:sz w:val="27"/>
        </w:rPr>
        <w:t>（乙 方）</w:t>
      </w:r>
    </w:p>
    <w:p>
      <w:pPr>
        <w:pStyle w:val="null3"/>
        <w:ind w:firstLine="426"/>
        <w:jc w:val="both"/>
      </w:pPr>
      <w:r>
        <w:rPr/>
        <w:t xml:space="preserve"> </w:t>
      </w:r>
    </w:p>
    <w:p>
      <w:pPr>
        <w:pStyle w:val="null3"/>
        <w:ind w:firstLine="426"/>
        <w:jc w:val="both"/>
      </w:pPr>
      <w:r>
        <w:rPr>
          <w:sz w:val="27"/>
        </w:rPr>
        <w:t>签订时间：</w:t>
      </w:r>
    </w:p>
    <w:p>
      <w:pPr>
        <w:pStyle w:val="null3"/>
        <w:ind w:firstLine="426"/>
        <w:jc w:val="both"/>
      </w:pPr>
      <w:r>
        <w:rPr/>
        <w:t xml:space="preserve"> </w:t>
      </w:r>
    </w:p>
    <w:p>
      <w:pPr>
        <w:pStyle w:val="null3"/>
        <w:ind w:firstLine="426"/>
        <w:jc w:val="both"/>
      </w:pPr>
      <w:r>
        <w:rPr>
          <w:sz w:val="27"/>
        </w:rPr>
        <w:t>签订地点：</w:t>
      </w:r>
    </w:p>
    <w:p>
      <w:pPr>
        <w:pStyle w:val="null3"/>
        <w:ind w:firstLine="426"/>
        <w:jc w:val="both"/>
      </w:pPr>
      <w:r>
        <w:rPr/>
        <w:t xml:space="preserve"> </w:t>
      </w:r>
    </w:p>
    <w:p>
      <w:pPr>
        <w:pStyle w:val="null3"/>
        <w:ind w:firstLine="426"/>
        <w:jc w:val="both"/>
      </w:pPr>
      <w:r>
        <w:rPr>
          <w:sz w:val="27"/>
        </w:rPr>
        <w:t>有效期限：</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560"/>
        <w:jc w:val="center"/>
      </w:pPr>
      <w:r>
        <w:rPr/>
        <w:t xml:space="preserve"> </w:t>
      </w:r>
    </w:p>
    <w:p>
      <w:pPr>
        <w:pStyle w:val="null3"/>
        <w:ind w:firstLine="560"/>
        <w:jc w:val="center"/>
      </w:pPr>
      <w:r>
        <w:rPr>
          <w:sz w:val="27"/>
        </w:rPr>
        <w:t>中华人民共和国科学技术部印制</w:t>
      </w:r>
    </w:p>
    <w:p>
      <w:pPr>
        <w:pStyle w:val="null3"/>
        <w:ind w:firstLine="560"/>
        <w:jc w:val="center"/>
      </w:pPr>
      <w:r>
        <w:rPr/>
        <w:t xml:space="preserve"> </w:t>
      </w:r>
    </w:p>
    <w:p>
      <w:pPr>
        <w:pStyle w:val="null3"/>
        <w:ind w:firstLine="560"/>
        <w:jc w:val="center"/>
      </w:pPr>
      <w:r>
        <w:rPr/>
        <w:t xml:space="preserve"> </w:t>
      </w:r>
    </w:p>
    <w:p>
      <w:pPr>
        <w:pStyle w:val="null3"/>
        <w:ind w:firstLine="560"/>
        <w:jc w:val="center"/>
      </w:pPr>
      <w:r>
        <w:rPr/>
        <w:t xml:space="preserve"> </w:t>
      </w:r>
    </w:p>
    <w:p>
      <w:pPr>
        <w:pStyle w:val="null3"/>
        <w:ind w:firstLine="560"/>
        <w:jc w:val="center"/>
      </w:pPr>
      <w:r>
        <w:rPr/>
        <w:t xml:space="preserve"> </w:t>
      </w:r>
    </w:p>
    <w:p>
      <w:pPr>
        <w:pStyle w:val="null3"/>
        <w:ind w:firstLine="560"/>
        <w:jc w:val="center"/>
      </w:pPr>
      <w:r>
        <w:rPr>
          <w:sz w:val="30"/>
          <w:b/>
        </w:rPr>
        <w:t>填写说明</w:t>
      </w:r>
    </w:p>
    <w:p>
      <w:pPr>
        <w:pStyle w:val="null3"/>
        <w:ind w:firstLine="480"/>
        <w:jc w:val="both"/>
      </w:pPr>
      <w:r>
        <w:rPr>
          <w:sz w:val="24"/>
        </w:rPr>
        <w:t>一、本合同为中华人民共和国科学技术部印制的技术服务合同示范文本，各技术合同认定登记机构可推介技术合同当事人参照使用。</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643"/>
        <w:jc w:val="center"/>
      </w:pPr>
      <w:r>
        <w:rPr>
          <w:sz w:val="30"/>
          <w:b/>
        </w:rPr>
        <w:t>技术服务合同</w:t>
      </w:r>
    </w:p>
    <w:p>
      <w:pPr>
        <w:pStyle w:val="null3"/>
        <w:ind w:firstLine="480"/>
        <w:jc w:val="both"/>
      </w:pPr>
      <w:r>
        <w:rPr>
          <w:sz w:val="24"/>
        </w:rPr>
        <w:t>委托方（甲方）：</w:t>
      </w:r>
      <w:r>
        <w:rPr>
          <w:sz w:val="24"/>
          <w:u w:val="single"/>
        </w:rPr>
        <w:t>广州市规划和自然资源局花都区分局</w:t>
      </w:r>
    </w:p>
    <w:p>
      <w:pPr>
        <w:pStyle w:val="null3"/>
        <w:ind w:firstLine="480"/>
        <w:jc w:val="both"/>
      </w:pPr>
      <w:r>
        <w:rPr>
          <w:sz w:val="24"/>
        </w:rPr>
        <w:t>住 所 地：</w:t>
      </w:r>
      <w:r>
        <w:rPr>
          <w:sz w:val="24"/>
          <w:u w:val="single"/>
        </w:rPr>
        <w:t xml:space="preserve">广州市花都区迎宾大道5号之一  </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r>
        <w:rPr>
          <w:sz w:val="24"/>
          <w:u w:val="single"/>
        </w:rPr>
        <w:t xml:space="preserve">广州市花都区迎宾大道5号之一 </w:t>
      </w:r>
    </w:p>
    <w:p>
      <w:pPr>
        <w:pStyle w:val="null3"/>
        <w:ind w:firstLine="480"/>
        <w:jc w:val="both"/>
      </w:pPr>
      <w:r>
        <w:rPr>
          <w:sz w:val="24"/>
        </w:rPr>
        <w:t>电 话：传 真：</w:t>
      </w:r>
    </w:p>
    <w:p>
      <w:pPr>
        <w:pStyle w:val="null3"/>
        <w:ind w:firstLine="480"/>
        <w:jc w:val="both"/>
      </w:pPr>
      <w:r>
        <w:rPr>
          <w:sz w:val="24"/>
        </w:rPr>
        <w:t>电子信箱：</w:t>
      </w:r>
    </w:p>
    <w:p>
      <w:pPr>
        <w:pStyle w:val="null3"/>
        <w:ind w:firstLine="480"/>
        <w:jc w:val="both"/>
      </w:pPr>
      <w:r>
        <w:rPr>
          <w:sz w:val="24"/>
        </w:rPr>
        <w:t>委托方（乙方）：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 话： 传 真：</w:t>
      </w:r>
    </w:p>
    <w:p>
      <w:pPr>
        <w:pStyle w:val="null3"/>
        <w:ind w:firstLine="480"/>
        <w:jc w:val="both"/>
      </w:pPr>
      <w:r>
        <w:rPr>
          <w:sz w:val="24"/>
        </w:rPr>
        <w:t>电子信箱：</w:t>
      </w:r>
    </w:p>
    <w:p>
      <w:pPr>
        <w:pStyle w:val="null3"/>
        <w:ind w:firstLine="480"/>
        <w:jc w:val="both"/>
      </w:pPr>
      <w:r>
        <w:rPr>
          <w:sz w:val="24"/>
        </w:rPr>
        <w:t>本合同甲方委托乙方就</w:t>
      </w:r>
      <w:r>
        <w:rPr>
          <w:sz w:val="24"/>
          <w:u w:val="single"/>
        </w:rPr>
        <w:t>花都区2024年度耕地保护专项工作技术服务项目</w:t>
      </w:r>
      <w:r>
        <w:rPr>
          <w:sz w:val="24"/>
        </w:rPr>
        <w:t>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0"/>
        <w:jc w:val="both"/>
      </w:pPr>
      <w:r>
        <w:rPr>
          <w:sz w:val="24"/>
        </w:rPr>
        <w:t>1</w:t>
      </w:r>
      <w:r>
        <w:rPr>
          <w:sz w:val="24"/>
        </w:rPr>
        <w:t>.</w:t>
      </w:r>
      <w:r>
        <w:rPr>
          <w:sz w:val="24"/>
        </w:rPr>
        <w:t>技术服务的目标：</w:t>
      </w:r>
      <w:r>
        <w:rPr>
          <w:sz w:val="24"/>
          <w:u w:val="single"/>
        </w:rPr>
        <w:t>统筹协调、提前谋划2024年花都区耕地保护重点工作，按照省市的决策部署，按时保质保量全面推行田长制工作。</w:t>
      </w:r>
    </w:p>
    <w:p>
      <w:pPr>
        <w:pStyle w:val="null3"/>
        <w:ind w:firstLine="480"/>
        <w:jc w:val="both"/>
      </w:pPr>
      <w:r>
        <w:rPr>
          <w:sz w:val="24"/>
          <w:u w:val="single"/>
        </w:rPr>
        <w:t>按照相关文件要求及上级对耕地保护相关工作的部署，按时保质保量完成耕地资源质量分类年度更新工作和耕作层剥离再利用年度实施方案编制工作。</w:t>
      </w:r>
    </w:p>
    <w:p>
      <w:pPr>
        <w:pStyle w:val="null3"/>
        <w:ind w:firstLine="480"/>
        <w:jc w:val="both"/>
      </w:pPr>
      <w:r>
        <w:rPr>
          <w:sz w:val="24"/>
          <w:u w:val="single"/>
        </w:rPr>
        <w:t>应对部统筹规范耕地保护卫片监测工作的变化，强化2024年度全区耕地和永久基本农田流出和违法建设占用的日常监管，结合常态化监测工作，早发现、早处置，确保完成区内耕地保有量和永久基本农田保护任务。</w:t>
      </w:r>
    </w:p>
    <w:p>
      <w:pPr>
        <w:pStyle w:val="null3"/>
        <w:ind w:firstLine="480"/>
        <w:jc w:val="both"/>
      </w:pPr>
      <w:r>
        <w:rPr>
          <w:sz w:val="24"/>
          <w:u w:val="single"/>
        </w:rPr>
        <w:t>落实耕地“进出平衡”制度，合理预测耕地流出面积，分解镇街耕地流入任务，做好流入图斑填报和验收申报，确保年度内“进出平衡”的落实。</w:t>
      </w:r>
    </w:p>
    <w:p>
      <w:pPr>
        <w:pStyle w:val="null3"/>
        <w:ind w:firstLine="480"/>
        <w:jc w:val="both"/>
      </w:pPr>
      <w:r>
        <w:rPr>
          <w:sz w:val="24"/>
          <w:u w:val="single"/>
        </w:rPr>
        <w:t>编制耕地保护年度实施方案，科学预测耕地“进出平衡”和“总量平衡”的缺口，分析现状耕地实地“非耕化”情况，从控流出和增流入出发，引入专业的国企农业公司有序推进非耕农用地开垦为耕地，为耕地保护工作保驾护航。</w:t>
      </w:r>
    </w:p>
    <w:p>
      <w:pPr>
        <w:pStyle w:val="null3"/>
        <w:ind w:firstLine="480"/>
        <w:jc w:val="both"/>
      </w:pPr>
      <w:r>
        <w:rPr>
          <w:sz w:val="24"/>
        </w:rPr>
        <w:t>2</w:t>
      </w:r>
      <w:r>
        <w:rPr>
          <w:sz w:val="24"/>
        </w:rPr>
        <w:t>.</w:t>
      </w:r>
      <w:r>
        <w:rPr>
          <w:sz w:val="24"/>
        </w:rPr>
        <w:t>技术服务的内容：</w:t>
      </w:r>
    </w:p>
    <w:p>
      <w:pPr>
        <w:pStyle w:val="null3"/>
        <w:ind w:firstLine="480"/>
        <w:jc w:val="both"/>
      </w:pPr>
      <w:r>
        <w:rPr>
          <w:sz w:val="24"/>
          <w:u w:val="single"/>
        </w:rPr>
        <w:t>（一）花都区田长制推进工作</w:t>
      </w:r>
    </w:p>
    <w:p>
      <w:pPr>
        <w:pStyle w:val="null3"/>
        <w:ind w:firstLine="480"/>
        <w:jc w:val="both"/>
      </w:pPr>
      <w:r>
        <w:rPr>
          <w:sz w:val="24"/>
          <w:u w:val="single"/>
        </w:rPr>
        <w:t>根据省、市决策部署，按时完成推行田长制的相关工作，加快推动田长制落地实施，完成田长制网格划分、田长信息入库巡田软件、网格示意图、巡田一张图、田长制相关政策制度制定、公示牌制作和安装、宣传培训等系列工作。</w:t>
      </w:r>
    </w:p>
    <w:p>
      <w:pPr>
        <w:pStyle w:val="null3"/>
        <w:ind w:firstLine="480"/>
        <w:jc w:val="both"/>
      </w:pPr>
      <w:r>
        <w:rPr>
          <w:sz w:val="24"/>
          <w:u w:val="single"/>
        </w:rPr>
        <w:t>（二）耕地资源质量分类年度更新工作</w:t>
      </w:r>
    </w:p>
    <w:p>
      <w:pPr>
        <w:pStyle w:val="null3"/>
        <w:ind w:firstLine="480"/>
        <w:jc w:val="both"/>
      </w:pPr>
      <w:r>
        <w:rPr>
          <w:sz w:val="24"/>
          <w:u w:val="single"/>
        </w:rPr>
        <w:t>结合年度耕地变化情况，确定年度更新图层，进行实地调查，完成相关分类指标数据，生成年度数据库，完成成果编制和上报。</w:t>
      </w:r>
    </w:p>
    <w:p>
      <w:pPr>
        <w:pStyle w:val="null3"/>
        <w:ind w:firstLine="480"/>
        <w:jc w:val="both"/>
      </w:pPr>
      <w:r>
        <w:rPr>
          <w:sz w:val="24"/>
          <w:u w:val="single"/>
        </w:rPr>
        <w:t>（三）2024年度耕作层剥离再利用年度实施方案</w:t>
      </w:r>
    </w:p>
    <w:p>
      <w:pPr>
        <w:pStyle w:val="null3"/>
        <w:ind w:firstLine="480"/>
        <w:jc w:val="both"/>
      </w:pPr>
      <w:r>
        <w:rPr>
          <w:sz w:val="24"/>
          <w:u w:val="single"/>
        </w:rPr>
        <w:t>总结花都区上一年度涉及耕地耕作层剥离再利用相关工作内容，收集整理和分析本年度非农建设占用耕地的范围，开展剥离再利用地块摸查工作，完成耕地耕作层剥离再利用年度实施方案编制。</w:t>
      </w:r>
    </w:p>
    <w:p>
      <w:pPr>
        <w:pStyle w:val="null3"/>
        <w:ind w:firstLine="480"/>
        <w:jc w:val="both"/>
      </w:pPr>
      <w:r>
        <w:rPr>
          <w:sz w:val="24"/>
          <w:u w:val="single"/>
        </w:rPr>
        <w:t>（四）耕地保护卫片自主监测工作</w:t>
      </w:r>
    </w:p>
    <w:p>
      <w:pPr>
        <w:pStyle w:val="null3"/>
        <w:ind w:firstLine="480"/>
        <w:jc w:val="both"/>
      </w:pPr>
      <w:r>
        <w:rPr>
          <w:sz w:val="24"/>
          <w:u w:val="single"/>
        </w:rPr>
        <w:t>根据卫片监测任务，完成全区一至三季度和年度的耕地卫片监测图斑自主提取与外业核查。</w:t>
      </w:r>
    </w:p>
    <w:p>
      <w:pPr>
        <w:pStyle w:val="null3"/>
        <w:ind w:firstLine="480"/>
        <w:jc w:val="both"/>
      </w:pPr>
      <w:r>
        <w:rPr>
          <w:sz w:val="24"/>
          <w:u w:val="single"/>
        </w:rPr>
        <w:t>每季度按时提取疑似问题图斑，分析流出和破坏的耕地和永久基本农田地的情形，图斑现场核查与指导整改，验收和内业上线。</w:t>
      </w:r>
    </w:p>
    <w:p>
      <w:pPr>
        <w:pStyle w:val="null3"/>
        <w:ind w:firstLine="480"/>
        <w:jc w:val="both"/>
      </w:pPr>
      <w:r>
        <w:rPr>
          <w:sz w:val="24"/>
          <w:u w:val="single"/>
        </w:rPr>
        <w:t>（五）2024年度耕地“进出平衡”</w:t>
      </w:r>
    </w:p>
    <w:p>
      <w:pPr>
        <w:pStyle w:val="null3"/>
        <w:ind w:firstLine="480"/>
        <w:jc w:val="both"/>
      </w:pPr>
      <w:r>
        <w:rPr>
          <w:sz w:val="24"/>
          <w:u w:val="single"/>
        </w:rPr>
        <w:t>全面摸清2024年度辖区可能流出的耕地数量，合理预测耕地流出面积，摸查耕地恢复潜力，动态分析耕地流入流出情况，做好流入图斑填报和验收申报，编制进出平衡方案，完成耕地相关图斑与年度变更调查的衔接工作。</w:t>
      </w:r>
    </w:p>
    <w:p>
      <w:pPr>
        <w:pStyle w:val="null3"/>
        <w:ind w:firstLine="480"/>
        <w:jc w:val="both"/>
      </w:pPr>
      <w:r>
        <w:rPr>
          <w:sz w:val="24"/>
          <w:u w:val="single"/>
        </w:rPr>
        <w:t>（六）2024年度耕地保护实施方案</w:t>
      </w:r>
    </w:p>
    <w:p>
      <w:pPr>
        <w:pStyle w:val="null3"/>
        <w:ind w:firstLine="480"/>
        <w:jc w:val="both"/>
      </w:pPr>
      <w:r>
        <w:rPr>
          <w:sz w:val="24"/>
          <w:u w:val="single"/>
        </w:rPr>
        <w:t>结合耕地保护的五个“一票否决”，统筹谋划2024年度耕地保护专项工作，编制年度专项规划，分析预测耕地和永久基本农田流出情况，摸查耕地开垦潜力和承包到期情况，压实“控流出”任务，全面“增流入”，探索和创新对非耕农用地进行开垦、经营和管护的路径，完成实施方案成果编制。</w:t>
      </w:r>
    </w:p>
    <w:p>
      <w:pPr>
        <w:pStyle w:val="null3"/>
        <w:ind w:firstLine="480"/>
        <w:jc w:val="both"/>
      </w:pPr>
      <w:r>
        <w:rPr>
          <w:sz w:val="24"/>
        </w:rPr>
        <w:t>3.工作成果要求：</w:t>
      </w:r>
    </w:p>
    <w:p>
      <w:pPr>
        <w:pStyle w:val="null3"/>
        <w:ind w:firstLine="480"/>
        <w:jc w:val="both"/>
      </w:pPr>
      <w:r>
        <w:rPr>
          <w:sz w:val="24"/>
          <w:u w:val="single"/>
        </w:rPr>
        <w:t>田长制工作成果包括田长制网格数据库、村级和网格田长公示示意图、村级田长巡田“一张图”、田长制公示牌、相关政策细则、宣传材料和政策培训材料。</w:t>
      </w:r>
    </w:p>
    <w:p>
      <w:pPr>
        <w:pStyle w:val="null3"/>
        <w:ind w:firstLine="480"/>
        <w:jc w:val="both"/>
      </w:pPr>
      <w:r>
        <w:rPr>
          <w:sz w:val="24"/>
          <w:u w:val="single"/>
        </w:rPr>
        <w:t>耕地资源质量分类年度更新工作成果包括数据库、汇总表、分析报告、其他成果等。</w:t>
      </w:r>
    </w:p>
    <w:p>
      <w:pPr>
        <w:pStyle w:val="null3"/>
        <w:ind w:firstLine="480"/>
        <w:jc w:val="both"/>
      </w:pPr>
      <w:r>
        <w:rPr>
          <w:sz w:val="24"/>
          <w:u w:val="single"/>
        </w:rPr>
        <w:t>2024年度耕作层剥离再利用年度实施方案工作成果包括实施方案文本、相关统计表格、图件及数据图层等。</w:t>
      </w:r>
    </w:p>
    <w:p>
      <w:pPr>
        <w:pStyle w:val="null3"/>
        <w:ind w:firstLine="480"/>
        <w:jc w:val="both"/>
      </w:pPr>
      <w:r>
        <w:rPr>
          <w:sz w:val="24"/>
          <w:u w:val="single"/>
        </w:rPr>
        <w:t>耕地保护卫片自主监测图斑核查工作成果主要是季度图斑提取数据库、平台填报数据。</w:t>
      </w:r>
    </w:p>
    <w:p>
      <w:pPr>
        <w:pStyle w:val="null3"/>
        <w:ind w:firstLine="480"/>
        <w:jc w:val="both"/>
      </w:pPr>
      <w:r>
        <w:rPr>
          <w:sz w:val="24"/>
          <w:u w:val="single"/>
        </w:rPr>
        <w:t>2024年度耕地“进出平衡”工作成果包括耕地进出平衡总体方案，含文字报告、表格、图件，以及平台填报数据。</w:t>
      </w:r>
    </w:p>
    <w:p>
      <w:pPr>
        <w:pStyle w:val="null3"/>
        <w:ind w:firstLine="480"/>
        <w:jc w:val="both"/>
      </w:pPr>
      <w:r>
        <w:rPr>
          <w:sz w:val="24"/>
          <w:u w:val="single"/>
        </w:rPr>
        <w:t>2024年耕地保护实施方案成果包括规划文字报告、表格、图件、相关台账数据等。</w:t>
      </w:r>
    </w:p>
    <w:p>
      <w:pPr>
        <w:pStyle w:val="null3"/>
        <w:ind w:firstLine="482"/>
        <w:jc w:val="both"/>
      </w:pPr>
      <w:r>
        <w:rPr>
          <w:sz w:val="24"/>
          <w:b/>
        </w:rPr>
        <w:t>第二条：乙方应按下列要求完成技术服务工作：</w:t>
      </w:r>
    </w:p>
    <w:p>
      <w:pPr>
        <w:pStyle w:val="null3"/>
        <w:ind w:firstLine="480"/>
        <w:jc w:val="both"/>
      </w:pPr>
      <w:r>
        <w:rPr>
          <w:sz w:val="24"/>
        </w:rPr>
        <w:t>1.技术服务地点：</w:t>
      </w:r>
      <w:r>
        <w:rPr>
          <w:sz w:val="24"/>
          <w:u w:val="single"/>
        </w:rPr>
        <w:t>广州市花都区</w:t>
      </w:r>
      <w:r>
        <w:rPr>
          <w:sz w:val="24"/>
        </w:rPr>
        <w:t>。</w:t>
      </w:r>
    </w:p>
    <w:p>
      <w:pPr>
        <w:pStyle w:val="null3"/>
        <w:ind w:firstLine="480"/>
        <w:jc w:val="both"/>
      </w:pPr>
      <w:r>
        <w:rPr>
          <w:sz w:val="24"/>
        </w:rPr>
        <w:t>2.技术服务期限：</w:t>
      </w:r>
      <w:r>
        <w:rPr>
          <w:sz w:val="24"/>
          <w:u w:val="single"/>
        </w:rPr>
        <w:t>自合同签订生效之日起一年。</w:t>
      </w:r>
    </w:p>
    <w:p>
      <w:pPr>
        <w:pStyle w:val="null3"/>
        <w:ind w:firstLine="480"/>
        <w:jc w:val="both"/>
      </w:pPr>
      <w:r>
        <w:rPr>
          <w:sz w:val="24"/>
        </w:rPr>
        <w:t>3.技术服务进度：</w:t>
      </w:r>
      <w:r>
        <w:rPr>
          <w:sz w:val="24"/>
          <w:u w:val="single"/>
        </w:rPr>
        <w:t>按采购需求规定要求和进度完成工作，并及时将成果送达甲方。</w:t>
      </w:r>
    </w:p>
    <w:p>
      <w:pPr>
        <w:pStyle w:val="null3"/>
        <w:ind w:firstLine="480"/>
        <w:jc w:val="both"/>
      </w:pPr>
      <w:r>
        <w:rPr>
          <w:sz w:val="24"/>
        </w:rPr>
        <w:t>4.技术服务质量要求：</w:t>
      </w:r>
      <w:r>
        <w:rPr>
          <w:sz w:val="24"/>
          <w:u w:val="single"/>
        </w:rPr>
        <w:t>成果必须符合国家及省、市现行有效的相关规定、技术标准、管理标准和设计规范及本需求中工作内容要求等有关章节的规定。</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1.提供技术资料：</w:t>
      </w:r>
      <w:r>
        <w:rPr>
          <w:sz w:val="24"/>
          <w:u w:val="single"/>
        </w:rPr>
        <w:t>与本项目相关的文件资料</w:t>
      </w:r>
      <w:r>
        <w:rPr>
          <w:sz w:val="24"/>
        </w:rPr>
        <w:t>。</w:t>
      </w:r>
    </w:p>
    <w:p>
      <w:pPr>
        <w:pStyle w:val="null3"/>
        <w:ind w:firstLine="480"/>
        <w:jc w:val="both"/>
      </w:pPr>
      <w:r>
        <w:rPr>
          <w:sz w:val="24"/>
        </w:rPr>
        <w:t>2.提供工作条件：</w:t>
      </w:r>
      <w:r>
        <w:rPr>
          <w:sz w:val="24"/>
          <w:u w:val="single"/>
        </w:rPr>
        <w:t>负责协调获取相关资料、技术服务费申请、组织工作成果的审查验收等</w:t>
      </w:r>
      <w:r>
        <w:rPr>
          <w:sz w:val="24"/>
        </w:rPr>
        <w:t>。</w:t>
      </w:r>
    </w:p>
    <w:p>
      <w:pPr>
        <w:pStyle w:val="null3"/>
        <w:ind w:firstLine="480"/>
        <w:jc w:val="both"/>
      </w:pPr>
      <w:r>
        <w:rPr>
          <w:sz w:val="24"/>
        </w:rPr>
        <w:t>3.其他：</w:t>
      </w:r>
      <w:r>
        <w:rPr>
          <w:sz w:val="24"/>
          <w:u w:val="single"/>
        </w:rPr>
        <w:t>无</w:t>
      </w:r>
      <w:r>
        <w:rPr>
          <w:sz w:val="24"/>
        </w:rPr>
        <w:t>。</w:t>
      </w:r>
    </w:p>
    <w:p>
      <w:pPr>
        <w:pStyle w:val="null3"/>
        <w:ind w:firstLine="48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82"/>
        <w:jc w:val="both"/>
      </w:pPr>
      <w:r>
        <w:rPr>
          <w:sz w:val="24"/>
          <w:b/>
        </w:rPr>
        <w:t>第四条：甲方向乙方支付技术服务报酬及支付方式为：</w:t>
      </w:r>
    </w:p>
    <w:p>
      <w:pPr>
        <w:pStyle w:val="null3"/>
        <w:ind w:firstLine="480"/>
        <w:jc w:val="both"/>
      </w:pPr>
      <w:r>
        <w:rPr>
          <w:sz w:val="24"/>
        </w:rPr>
        <w:t>（一）合同总金额为：</w:t>
      </w:r>
      <w:r>
        <w:rPr>
          <w:sz w:val="24"/>
          <w:u w:val="single"/>
        </w:rPr>
        <w:t xml:space="preserve">               </w:t>
      </w:r>
      <w:r>
        <w:rPr>
          <w:sz w:val="24"/>
        </w:rPr>
        <w:t>；合同单价为：</w:t>
      </w:r>
      <w:r>
        <w:rPr>
          <w:sz w:val="24"/>
          <w:u w:val="single"/>
        </w:rPr>
        <w:t xml:space="preserve">               </w:t>
      </w:r>
      <w:r>
        <w:rPr>
          <w:sz w:val="24"/>
        </w:rPr>
        <w:t>。合同总额包括技术服务费、技术人员的工勤费用（包括工资。福利、交通、住宿、通讯费等）、各项税费及合同实施过程中不可预见费用等。</w:t>
      </w:r>
    </w:p>
    <w:p>
      <w:pPr>
        <w:pStyle w:val="null3"/>
        <w:ind w:firstLine="480"/>
        <w:jc w:val="both"/>
      </w:pPr>
      <w:r>
        <w:rPr>
          <w:sz w:val="24"/>
        </w:rPr>
        <w:t>1.合同签订后，在收到发票后按照《广州市本级财政直接支付用款申请办事指南》办理支付手续，支付人民币</w:t>
      </w:r>
      <w:r>
        <w:rPr>
          <w:sz w:val="24"/>
          <w:u w:val="single"/>
        </w:rPr>
        <w:t xml:space="preserve">               </w:t>
      </w:r>
      <w:r>
        <w:rPr>
          <w:sz w:val="24"/>
        </w:rPr>
        <w:t>元整（￥</w:t>
      </w:r>
      <w:r>
        <w:rPr>
          <w:sz w:val="24"/>
          <w:u w:val="single"/>
        </w:rPr>
        <w:t xml:space="preserve">               </w:t>
      </w:r>
      <w:r>
        <w:rPr>
          <w:sz w:val="24"/>
        </w:rPr>
        <w:t>）；</w:t>
      </w:r>
    </w:p>
    <w:p>
      <w:pPr>
        <w:pStyle w:val="null3"/>
        <w:ind w:firstLine="480"/>
        <w:jc w:val="both"/>
      </w:pPr>
      <w:r>
        <w:rPr>
          <w:sz w:val="24"/>
        </w:rPr>
        <w:t>2.服务项目全部完成并提交相应成果材料后，在收到发票后按照《广州市本级财政直接支付用款申请办事指南》办理支付手续，支付人民币</w:t>
      </w:r>
      <w:r>
        <w:rPr>
          <w:sz w:val="24"/>
          <w:u w:val="single"/>
        </w:rPr>
        <w:t xml:space="preserve">               </w:t>
      </w:r>
      <w:r>
        <w:rPr>
          <w:sz w:val="24"/>
        </w:rPr>
        <w:t>元整（￥</w:t>
      </w:r>
      <w:r>
        <w:rPr>
          <w:sz w:val="24"/>
          <w:u w:val="single"/>
        </w:rPr>
        <w:t xml:space="preserve">               </w:t>
      </w:r>
      <w:r>
        <w:rPr>
          <w:sz w:val="24"/>
        </w:rPr>
        <w:t>）；</w:t>
      </w:r>
    </w:p>
    <w:p>
      <w:pPr>
        <w:pStyle w:val="null3"/>
        <w:ind w:firstLine="480"/>
        <w:jc w:val="both"/>
      </w:pPr>
      <w:r>
        <w:rPr>
          <w:sz w:val="24"/>
        </w:rPr>
        <w:t>3.服务成果材料通过甲方验收合格后，在收到发票后按照《广州市本级财政直接支付用款申请办事指南》办理支付手续，支付人民币</w:t>
      </w:r>
      <w:r>
        <w:rPr>
          <w:sz w:val="24"/>
          <w:u w:val="single"/>
        </w:rPr>
        <w:t xml:space="preserve">               </w:t>
      </w:r>
      <w:r>
        <w:rPr>
          <w:sz w:val="24"/>
        </w:rPr>
        <w:t>元整（￥</w:t>
      </w:r>
      <w:r>
        <w:rPr>
          <w:sz w:val="24"/>
          <w:u w:val="single"/>
        </w:rPr>
        <w:t xml:space="preserve">               </w:t>
      </w:r>
      <w:r>
        <w:rPr>
          <w:sz w:val="24"/>
        </w:rPr>
        <w:t>）；</w:t>
      </w:r>
    </w:p>
    <w:p>
      <w:pPr>
        <w:pStyle w:val="null3"/>
        <w:ind w:firstLine="480"/>
        <w:jc w:val="both"/>
      </w:pPr>
      <w:r>
        <w:rPr>
          <w:sz w:val="24"/>
        </w:rPr>
        <w:t>4.甲方付款前，乙方应及时向甲方提供合法有效的等额发票，否则甲方有权拒绝付款而不构成违约。双方一致同意，因甲方使用的是财政资金，甲方在前款规定的付款时间为向政府财政部门提出办理财政支付申请手续的时间（不含政府财政支付部门审核的时间），在规定时间内提出支付申请手续后即视为甲方已经按期支付。</w:t>
      </w:r>
    </w:p>
    <w:p>
      <w:pPr>
        <w:pStyle w:val="null3"/>
        <w:ind w:firstLine="480"/>
        <w:jc w:val="both"/>
      </w:pPr>
      <w:r>
        <w:rPr>
          <w:sz w:val="24"/>
        </w:rPr>
        <w:t>5.乙方开户银行名称、地址和账号为：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2"/>
        <w:jc w:val="both"/>
      </w:pPr>
      <w:r>
        <w:rPr>
          <w:sz w:val="24"/>
          <w:b/>
        </w:rPr>
        <w:t>第五条：双方确定因履行本合同应遵守的保密义务如下：</w:t>
      </w:r>
    </w:p>
    <w:p>
      <w:pPr>
        <w:pStyle w:val="null3"/>
        <w:ind w:firstLine="480"/>
        <w:jc w:val="both"/>
      </w:pPr>
      <w:r>
        <w:rPr>
          <w:sz w:val="24"/>
        </w:rPr>
        <w:t>甲方：</w:t>
      </w:r>
    </w:p>
    <w:p>
      <w:pPr>
        <w:pStyle w:val="null3"/>
        <w:ind w:firstLine="480"/>
        <w:jc w:val="both"/>
      </w:pPr>
      <w:r>
        <w:rPr>
          <w:sz w:val="24"/>
        </w:rPr>
        <w:t xml:space="preserve">1.保密内容（包括技术信息和经营信息）： </w:t>
      </w:r>
      <w:r>
        <w:rPr>
          <w:sz w:val="24"/>
          <w:u w:val="single"/>
        </w:rPr>
        <w:t>与本次工作有关的信息和资料</w:t>
      </w:r>
      <w:r>
        <w:rPr>
          <w:sz w:val="24"/>
        </w:rPr>
        <w:t>；</w:t>
      </w:r>
    </w:p>
    <w:p>
      <w:pPr>
        <w:pStyle w:val="null3"/>
        <w:ind w:firstLine="480"/>
        <w:jc w:val="both"/>
      </w:pPr>
      <w:r>
        <w:rPr>
          <w:sz w:val="24"/>
        </w:rPr>
        <w:t>2.涉密人员范围：</w:t>
      </w:r>
      <w:r>
        <w:rPr>
          <w:sz w:val="24"/>
          <w:u w:val="single"/>
        </w:rPr>
        <w:t xml:space="preserve"> 参与本次工作的全体人员</w:t>
      </w:r>
      <w:r>
        <w:rPr>
          <w:sz w:val="24"/>
        </w:rPr>
        <w:t>；</w:t>
      </w:r>
    </w:p>
    <w:p>
      <w:pPr>
        <w:pStyle w:val="null3"/>
        <w:ind w:firstLine="480"/>
        <w:jc w:val="both"/>
      </w:pPr>
      <w:r>
        <w:rPr>
          <w:sz w:val="24"/>
        </w:rPr>
        <w:t>3.保密期限：</w:t>
      </w:r>
      <w:r>
        <w:rPr>
          <w:sz w:val="24"/>
          <w:u w:val="single"/>
        </w:rPr>
        <w:t>按照法律规定执行</w:t>
      </w:r>
      <w:r>
        <w:rPr>
          <w:sz w:val="24"/>
        </w:rPr>
        <w:t>；</w:t>
      </w:r>
    </w:p>
    <w:p>
      <w:pPr>
        <w:pStyle w:val="null3"/>
        <w:ind w:firstLine="480"/>
        <w:jc w:val="both"/>
      </w:pPr>
      <w:r>
        <w:rPr>
          <w:sz w:val="24"/>
        </w:rPr>
        <w:t>4.泄密责任：</w:t>
      </w:r>
      <w:r>
        <w:rPr>
          <w:sz w:val="24"/>
          <w:u w:val="single"/>
        </w:rPr>
        <w:t>按照法律规定承担有关责任</w:t>
      </w:r>
      <w:r>
        <w:rPr>
          <w:sz w:val="24"/>
        </w:rPr>
        <w:t>。</w:t>
      </w:r>
    </w:p>
    <w:p>
      <w:pPr>
        <w:pStyle w:val="null3"/>
        <w:ind w:firstLine="480"/>
        <w:jc w:val="both"/>
      </w:pPr>
      <w:r>
        <w:rPr>
          <w:sz w:val="24"/>
        </w:rPr>
        <w:t>乙方：</w:t>
      </w:r>
    </w:p>
    <w:p>
      <w:pPr>
        <w:pStyle w:val="null3"/>
        <w:ind w:firstLine="480"/>
        <w:jc w:val="both"/>
      </w:pPr>
      <w:r>
        <w:rPr>
          <w:sz w:val="24"/>
        </w:rPr>
        <w:t>1.保密内容（包括技术信息和经营信息）：</w:t>
      </w:r>
      <w:r>
        <w:rPr>
          <w:sz w:val="24"/>
          <w:u w:val="single"/>
        </w:rPr>
        <w:t>必须对本项目的背景材料、相关技术资料和成果等一切有关信息承担保密责任。本项目涉及的保密条款并不因本项目合同的终止就失效，该条款对各方依旧有法律约束力</w:t>
      </w:r>
      <w:r>
        <w:rPr>
          <w:sz w:val="24"/>
        </w:rPr>
        <w:t>；</w:t>
      </w:r>
    </w:p>
    <w:p>
      <w:pPr>
        <w:pStyle w:val="null3"/>
        <w:ind w:firstLine="480"/>
        <w:jc w:val="both"/>
      </w:pPr>
      <w:r>
        <w:rPr>
          <w:sz w:val="24"/>
        </w:rPr>
        <w:t>2.涉密人员范围：</w:t>
      </w:r>
      <w:r>
        <w:rPr>
          <w:sz w:val="24"/>
          <w:u w:val="single"/>
        </w:rPr>
        <w:t>参与本次工作的全体人员</w:t>
      </w:r>
      <w:r>
        <w:rPr>
          <w:sz w:val="24"/>
        </w:rPr>
        <w:t>；</w:t>
      </w:r>
    </w:p>
    <w:p>
      <w:pPr>
        <w:pStyle w:val="null3"/>
        <w:ind w:firstLine="480"/>
        <w:jc w:val="both"/>
      </w:pPr>
      <w:r>
        <w:rPr>
          <w:sz w:val="24"/>
        </w:rPr>
        <w:t>3.保密期限：</w:t>
      </w:r>
      <w:r>
        <w:rPr>
          <w:sz w:val="24"/>
          <w:u w:val="single"/>
        </w:rPr>
        <w:t>按照法律规定执行</w:t>
      </w:r>
      <w:r>
        <w:rPr>
          <w:sz w:val="24"/>
        </w:rPr>
        <w:t>；</w:t>
      </w:r>
    </w:p>
    <w:p>
      <w:pPr>
        <w:pStyle w:val="null3"/>
        <w:ind w:firstLine="480"/>
        <w:jc w:val="both"/>
      </w:pPr>
      <w:r>
        <w:rPr>
          <w:sz w:val="24"/>
        </w:rPr>
        <w:t>4.泄密责任：</w:t>
      </w:r>
      <w:r>
        <w:rPr>
          <w:sz w:val="24"/>
          <w:u w:val="single"/>
        </w:rPr>
        <w:t>按照法律规定承担有关责任</w:t>
      </w:r>
      <w:r>
        <w:rPr>
          <w:sz w:val="24"/>
        </w:rPr>
        <w:t>。</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 xml:space="preserve"> 7 </w:t>
      </w:r>
      <w:r>
        <w:rPr>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r>
        <w:rPr>
          <w:sz w:val="24"/>
        </w:rPr>
        <w:t>；</w:t>
      </w:r>
    </w:p>
    <w:p>
      <w:pPr>
        <w:pStyle w:val="null3"/>
        <w:ind w:firstLine="480"/>
        <w:jc w:val="both"/>
      </w:pPr>
      <w:r>
        <w:rPr>
          <w:sz w:val="24"/>
        </w:rPr>
        <w:t>2.</w:t>
      </w:r>
      <w:r>
        <w:rPr>
          <w:sz w:val="24"/>
          <w:u w:val="single"/>
        </w:rPr>
        <w:t>项目任务书变更</w:t>
      </w:r>
      <w:r>
        <w:rPr>
          <w:sz w:val="24"/>
        </w:rPr>
        <w:t>。</w:t>
      </w:r>
    </w:p>
    <w:p>
      <w:pPr>
        <w:pStyle w:val="null3"/>
        <w:ind w:firstLine="482"/>
        <w:jc w:val="both"/>
      </w:pPr>
      <w:r>
        <w:rPr>
          <w:sz w:val="24"/>
          <w:b/>
        </w:rPr>
        <w:t>第七条：双方确定以下列标准和方式对乙方的技术服务工作成果进行验收：</w:t>
      </w:r>
    </w:p>
    <w:p>
      <w:pPr>
        <w:pStyle w:val="null3"/>
        <w:ind w:firstLine="480"/>
        <w:jc w:val="both"/>
      </w:pPr>
      <w:r>
        <w:rPr>
          <w:sz w:val="24"/>
        </w:rPr>
        <w:t>1.乙方完成技术服务工作的形式：</w:t>
      </w:r>
      <w:r>
        <w:rPr>
          <w:sz w:val="24"/>
          <w:u w:val="single"/>
        </w:rPr>
        <w:t>依据项目需求和甲方要求提交工作成果。</w:t>
      </w:r>
    </w:p>
    <w:p>
      <w:pPr>
        <w:pStyle w:val="null3"/>
        <w:ind w:firstLine="480"/>
        <w:jc w:val="both"/>
      </w:pPr>
      <w:r>
        <w:rPr>
          <w:sz w:val="24"/>
        </w:rPr>
        <w:t>2.技术服务工作成果的验收标准：</w:t>
      </w:r>
      <w:r>
        <w:rPr>
          <w:sz w:val="24"/>
          <w:u w:val="single"/>
        </w:rPr>
        <w:t>成果必须符合国家及省、市现行有效的相关规定、技术标准、管理标准和设计规范及本需求中工作内容要求等有关章节的规定。</w:t>
      </w:r>
    </w:p>
    <w:p>
      <w:pPr>
        <w:pStyle w:val="null3"/>
        <w:ind w:firstLine="480"/>
        <w:jc w:val="both"/>
      </w:pPr>
      <w:r>
        <w:rPr>
          <w:sz w:val="24"/>
        </w:rPr>
        <w:t>3.技术服务工作成果的验收方法：</w:t>
      </w:r>
      <w:r>
        <w:rPr>
          <w:sz w:val="24"/>
          <w:u w:val="single"/>
        </w:rPr>
        <w:t>通过相关审批部门组织的验收。</w:t>
      </w:r>
    </w:p>
    <w:p>
      <w:pPr>
        <w:pStyle w:val="null3"/>
        <w:ind w:firstLine="480"/>
        <w:jc w:val="both"/>
      </w:pPr>
      <w:r>
        <w:rPr>
          <w:sz w:val="24"/>
        </w:rPr>
        <w:t>4.验收的时间和地点：</w:t>
      </w:r>
      <w:r>
        <w:rPr>
          <w:sz w:val="24"/>
          <w:u w:val="single"/>
        </w:rPr>
        <w:t>由甲方另行确定。</w:t>
      </w:r>
    </w:p>
    <w:p>
      <w:pPr>
        <w:pStyle w:val="null3"/>
        <w:ind w:firstLine="482"/>
        <w:jc w:val="both"/>
      </w:pPr>
      <w:r>
        <w:rPr>
          <w:sz w:val="24"/>
          <w:b/>
        </w:rPr>
        <w:t>第八条 项目人员要求</w:t>
      </w:r>
    </w:p>
    <w:p>
      <w:pPr>
        <w:pStyle w:val="null3"/>
        <w:ind w:firstLine="480"/>
        <w:jc w:val="both"/>
      </w:pPr>
      <w:r>
        <w:rPr>
          <w:sz w:val="24"/>
        </w:rPr>
        <w:t>双方确定，在本合同有效期内，甲方指定</w:t>
      </w:r>
      <w:r>
        <w:rPr>
          <w:sz w:val="24"/>
          <w:b/>
          <w:u w:val="single"/>
        </w:rPr>
        <w:t xml:space="preserve">   </w:t>
      </w:r>
      <w:r>
        <w:rPr>
          <w:sz w:val="24"/>
        </w:rPr>
        <w:t>为甲方项目联系人，乙方指定</w:t>
      </w:r>
      <w:r>
        <w:rPr>
          <w:sz w:val="24"/>
          <w:b/>
          <w:u w:val="single"/>
        </w:rPr>
        <w:t xml:space="preserve">   </w:t>
      </w:r>
      <w:r>
        <w:rPr>
          <w:sz w:val="24"/>
        </w:rPr>
        <w:t>为本项目负责人、</w:t>
      </w:r>
      <w:r>
        <w:rPr>
          <w:sz w:val="24"/>
          <w:b/>
          <w:u w:val="single"/>
        </w:rPr>
        <w:t xml:space="preserve">   </w:t>
      </w:r>
      <w:r>
        <w:rPr>
          <w:sz w:val="24"/>
        </w:rPr>
        <w:t>为本项目联系人，相关责任如下：</w:t>
      </w:r>
    </w:p>
    <w:p>
      <w:pPr>
        <w:pStyle w:val="null3"/>
        <w:ind w:firstLine="480"/>
        <w:jc w:val="both"/>
      </w:pPr>
      <w:r>
        <w:rPr>
          <w:sz w:val="24"/>
        </w:rPr>
        <w:t>1.甲方项目联系人负责经费拨付的联络、协调；配合乙方工作，进行本次工作的协调跟进，确认并接收工作成果；尽快、及时组织工作成果的审查验收；</w:t>
      </w:r>
    </w:p>
    <w:p>
      <w:pPr>
        <w:pStyle w:val="null3"/>
        <w:ind w:firstLine="480"/>
        <w:jc w:val="both"/>
      </w:pPr>
      <w:r>
        <w:rPr>
          <w:sz w:val="24"/>
        </w:rPr>
        <w:t>2.乙方项目负责人负责统筹项目推进、成果撰写、会议汇报、项目沟通等；</w:t>
      </w:r>
    </w:p>
    <w:p>
      <w:pPr>
        <w:pStyle w:val="null3"/>
        <w:ind w:firstLine="480"/>
        <w:jc w:val="both"/>
      </w:pPr>
      <w:r>
        <w:rPr>
          <w:sz w:val="24"/>
        </w:rPr>
        <w:t>3.乙方项目联系人定期向甲方报告工作进度及完成情况，按约定期限提交工作成果；</w:t>
      </w:r>
    </w:p>
    <w:p>
      <w:pPr>
        <w:pStyle w:val="null3"/>
        <w:ind w:firstLine="480"/>
        <w:jc w:val="both"/>
      </w:pPr>
      <w:r>
        <w:rPr>
          <w:sz w:val="24"/>
        </w:rPr>
        <w:t>4.一方变更项目负责人或联系人的，应当及时以书面形式通知另一方，未及时通知并影响本合同履行或造成损失的，应承担相应的责任。</w:t>
      </w:r>
    </w:p>
    <w:p>
      <w:pPr>
        <w:pStyle w:val="null3"/>
        <w:ind w:firstLine="482"/>
        <w:jc w:val="both"/>
      </w:pPr>
      <w:r>
        <w:rPr>
          <w:sz w:val="24"/>
          <w:b/>
        </w:rPr>
        <w:t>第九条 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0"/>
        <w:jc w:val="both"/>
      </w:pPr>
      <w:r>
        <w:rPr>
          <w:sz w:val="24"/>
        </w:rPr>
        <w:t>3.项目成果署名权归双方共有，版权归甲方所有。甲方有权在成果审定后公开展示成果，并通过传播、媒介、专业杂志、书刊及其他形式介绍、展示、评价成果。乙方未经甲方同意无权以任何形式向社会公开展示研究成果、宣传和奖项申报。</w:t>
      </w:r>
    </w:p>
    <w:p>
      <w:pPr>
        <w:pStyle w:val="null3"/>
        <w:ind w:firstLine="482"/>
        <w:jc w:val="both"/>
      </w:pPr>
      <w:r>
        <w:rPr>
          <w:sz w:val="24"/>
          <w:b/>
        </w:rPr>
        <w:t>第十条 双方确定，按以下约定承担各自的违约责任：</w:t>
      </w:r>
    </w:p>
    <w:p>
      <w:pPr>
        <w:pStyle w:val="null3"/>
        <w:ind w:firstLine="480"/>
        <w:jc w:val="both"/>
      </w:pPr>
      <w:r>
        <w:rPr>
          <w:sz w:val="24"/>
        </w:rPr>
        <w:t>1.甲方未及时提供基础资料、组织成果审查以致影响乙方工作进度的，甲方应当积极采取补救措施，保障乙方按合同收取经费的权益，具体由双方协商。</w:t>
      </w:r>
    </w:p>
    <w:p>
      <w:pPr>
        <w:pStyle w:val="null3"/>
        <w:ind w:firstLine="480"/>
        <w:jc w:val="both"/>
      </w:pPr>
      <w:r>
        <w:rPr>
          <w:sz w:val="24"/>
        </w:rPr>
        <w:t>2.合同签订后，如乙方擅自中途停止或解除合同，乙方向甲方退回已付的全部合同款项，并向甲方支付本合同总价的10%违约金。</w:t>
      </w:r>
    </w:p>
    <w:p>
      <w:pPr>
        <w:pStyle w:val="null3"/>
        <w:ind w:firstLine="480"/>
        <w:jc w:val="both"/>
      </w:pPr>
      <w:r>
        <w:rPr>
          <w:sz w:val="24"/>
        </w:rPr>
        <w:t>3.乙方未按时提交项目报告，从逾期次日起，每日向甲方偿付该阶段服务费应付金额千分之一的违约金，违约金额不超过合同金额的10%。逾期累计超过60天，甲方有权解除本合同，乙方应向甲方退回已收取的全部款项。如因此造成甲方损失的，乙方应当承担赔偿责任。</w:t>
      </w:r>
    </w:p>
    <w:p>
      <w:pPr>
        <w:pStyle w:val="null3"/>
        <w:ind w:firstLine="480"/>
        <w:jc w:val="both"/>
      </w:pPr>
      <w:r>
        <w:rPr>
          <w:sz w:val="24"/>
        </w:rPr>
        <w:t>4.乙方提交的项目报告质量经甲方审查认为不合格的，乙方应当负责根据甲方的要求进行修改并无偿重新提供报告或无偿采取其他补救措施，直至达到本合同约定的要求。由此造成延迟提交项目报告的，乙方应当按照本合同第十条第3 点约定向甲方支付违约金。甲方付款时间可以相应顺延，且无需承担任何法律责任。</w:t>
      </w:r>
    </w:p>
    <w:p>
      <w:pPr>
        <w:pStyle w:val="null3"/>
        <w:ind w:firstLine="480"/>
        <w:jc w:val="both"/>
      </w:pPr>
      <w:r>
        <w:rPr>
          <w:sz w:val="24"/>
        </w:rPr>
        <w:t>5.因乙方未按时提交项目报告，或者提交项目报告质量不合格的，除按本合同第十条第3、4点承担责任外，所造成的其他后果也均由乙方承担。如造成本项目剩余资金被财政部门收回的，乙方同意免除甲方支付剩余款项的义务，同时乙方仍应当继续按照本合同要求完成本项目直至最终报告通过甲方验收，否则，乙方应向甲方退回已收取的全部款项，并向甲方支付合同服务费总额10%的违约金。因项目报告不符合合同约定要求造成的任何后果均由乙方承担，包括但不限于承担因此造成的直接损失赔偿责任。</w:t>
      </w:r>
    </w:p>
    <w:p>
      <w:pPr>
        <w:pStyle w:val="null3"/>
        <w:ind w:firstLine="480"/>
        <w:jc w:val="both"/>
      </w:pPr>
      <w:r>
        <w:rPr>
          <w:sz w:val="24"/>
        </w:rPr>
        <w:t>6.未经甲乙双方同意，任何一方不得随意更改合同要求，未遵守用户需求书要求及合同要求或未经甲乙双方同意变更用户需求书及合同要求的须承担支付合同服务费总额5%的违约金责任。</w:t>
      </w:r>
    </w:p>
    <w:p>
      <w:pPr>
        <w:pStyle w:val="null3"/>
        <w:ind w:firstLine="480"/>
        <w:jc w:val="both"/>
      </w:pPr>
      <w:r>
        <w:rPr>
          <w:sz w:val="24"/>
        </w:rPr>
        <w:t>7.甲乙双方任一方如若出现未按照本合同第五条遵守相应的保密义务，则按照法律规定承担有关责任。</w:t>
      </w:r>
    </w:p>
    <w:p>
      <w:pPr>
        <w:pStyle w:val="null3"/>
        <w:ind w:firstLine="480"/>
        <w:jc w:val="both"/>
      </w:pPr>
      <w:r>
        <w:rPr>
          <w:sz w:val="24"/>
        </w:rPr>
        <w:t>8.乙方不得将本合同项目转让、转包给他人，也不得将本合同项目肢解后分别向他人转让、转包；未经甲方同意，乙方不得将本合同项目分包给他人。乙方违反上述规定，甲方有权解除本合同，乙方应向甲方退回已收取的全部合同款项，并向甲方支付本合同总价10%的违约金。</w:t>
      </w:r>
    </w:p>
    <w:p>
      <w:pPr>
        <w:pStyle w:val="null3"/>
        <w:ind w:firstLine="482"/>
        <w:jc w:val="both"/>
      </w:pPr>
      <w:r>
        <w:rPr>
          <w:sz w:val="24"/>
          <w:b/>
        </w:rPr>
        <w:t>第十一条 双方确定，出现下列情形，致使本合同的履行成为不必要或不可能的，可以解除本合同：</w:t>
      </w:r>
    </w:p>
    <w:p>
      <w:pPr>
        <w:pStyle w:val="null3"/>
        <w:ind w:firstLine="480"/>
        <w:jc w:val="both"/>
      </w:pPr>
      <w:r>
        <w:rPr>
          <w:sz w:val="24"/>
        </w:rPr>
        <w:t>1.</w:t>
      </w:r>
      <w:r>
        <w:rPr>
          <w:sz w:val="24"/>
          <w:u w:val="single"/>
        </w:rPr>
        <w:t>发生不可抗力</w:t>
      </w:r>
      <w:r>
        <w:rPr>
          <w:sz w:val="24"/>
        </w:rPr>
        <w:t>；</w:t>
      </w:r>
    </w:p>
    <w:p>
      <w:pPr>
        <w:pStyle w:val="null3"/>
        <w:ind w:firstLine="480"/>
        <w:jc w:val="both"/>
      </w:pPr>
      <w:r>
        <w:rPr>
          <w:sz w:val="24"/>
        </w:rPr>
        <w:t>2.</w:t>
      </w:r>
      <w:r>
        <w:rPr>
          <w:sz w:val="24"/>
          <w:u w:val="single"/>
        </w:rPr>
        <w:t>在履行期限届满前，一方明确表示或者以自己的行为表明不履行合同的</w:t>
      </w:r>
      <w:r>
        <w:rPr>
          <w:sz w:val="24"/>
        </w:rPr>
        <w:t>；</w:t>
      </w:r>
    </w:p>
    <w:p>
      <w:pPr>
        <w:pStyle w:val="null3"/>
        <w:ind w:firstLine="480"/>
        <w:jc w:val="both"/>
      </w:pPr>
      <w:r>
        <w:rPr>
          <w:sz w:val="24"/>
        </w:rPr>
        <w:t>3.</w:t>
      </w:r>
      <w:r>
        <w:rPr>
          <w:sz w:val="24"/>
          <w:u w:val="single"/>
        </w:rPr>
        <w:t>一方迟延履行合同，经催告后在合理期限内仍未履行合同的</w:t>
      </w:r>
      <w:r>
        <w:rPr>
          <w:sz w:val="24"/>
        </w:rPr>
        <w:t>；</w:t>
      </w:r>
    </w:p>
    <w:p>
      <w:pPr>
        <w:pStyle w:val="null3"/>
        <w:ind w:firstLine="480"/>
        <w:jc w:val="both"/>
      </w:pPr>
      <w:r>
        <w:rPr>
          <w:sz w:val="24"/>
        </w:rPr>
        <w:t>4.</w:t>
      </w:r>
      <w:r>
        <w:rPr>
          <w:sz w:val="24"/>
          <w:u w:val="single"/>
        </w:rPr>
        <w:t>一方迟延履行或者有其它违约行为致使不能实现合同目的的</w:t>
      </w:r>
      <w:r>
        <w:rPr>
          <w:sz w:val="24"/>
        </w:rPr>
        <w:t>。</w:t>
      </w:r>
    </w:p>
    <w:p>
      <w:pPr>
        <w:pStyle w:val="null3"/>
        <w:ind w:firstLine="482"/>
        <w:jc w:val="both"/>
      </w:pPr>
      <w:r>
        <w:rPr>
          <w:sz w:val="24"/>
          <w:b/>
        </w:rPr>
        <w:t>第十二条 双方因履行本合同而发生的争议，应协商、调解解决。协商、调解不成的，依法向甲方所在地人民法院起诉。</w:t>
      </w:r>
    </w:p>
    <w:p>
      <w:pPr>
        <w:pStyle w:val="null3"/>
        <w:ind w:firstLine="482"/>
        <w:jc w:val="both"/>
      </w:pPr>
      <w:r>
        <w:rPr>
          <w:sz w:val="24"/>
          <w:b/>
        </w:rPr>
        <w:t>第十三条 双方确定：本合同及相关附件中所涉及的有关名词和技术术语，其定义和解释如下：</w:t>
      </w:r>
    </w:p>
    <w:p>
      <w:pPr>
        <w:pStyle w:val="null3"/>
        <w:ind w:firstLine="480"/>
        <w:jc w:val="both"/>
      </w:pPr>
      <w:r>
        <w:rPr>
          <w:sz w:val="24"/>
        </w:rPr>
        <w:t>1.本合同的附件是合同的重要组成部分，与合同有同等法律效力；</w:t>
      </w:r>
    </w:p>
    <w:p>
      <w:pPr>
        <w:pStyle w:val="null3"/>
        <w:ind w:firstLine="480"/>
        <w:jc w:val="both"/>
      </w:pPr>
      <w:r>
        <w:rPr>
          <w:sz w:val="24"/>
        </w:rPr>
        <w:t>2.对本合同的理解与解释应依据合同目的和文本原义及业界通行的理解和惯例进行，本合同内的标题不应影响本合同的解释。</w:t>
      </w:r>
    </w:p>
    <w:p>
      <w:pPr>
        <w:pStyle w:val="null3"/>
        <w:ind w:firstLine="482"/>
        <w:jc w:val="both"/>
      </w:pPr>
      <w:r>
        <w:rPr>
          <w:sz w:val="24"/>
          <w:b/>
        </w:rPr>
        <w:t>第十四条 本合同一式</w:t>
      </w:r>
      <w:r>
        <w:rPr>
          <w:sz w:val="24"/>
          <w:b/>
          <w:u w:val="single"/>
        </w:rPr>
        <w:t xml:space="preserve">   </w:t>
      </w:r>
      <w:r>
        <w:rPr>
          <w:sz w:val="24"/>
          <w:b/>
        </w:rPr>
        <w:t>份，甲乙各方各执</w:t>
      </w:r>
      <w:r>
        <w:rPr>
          <w:sz w:val="24"/>
          <w:b/>
          <w:u w:val="single"/>
        </w:rPr>
        <w:t xml:space="preserve">   </w:t>
      </w:r>
      <w:r>
        <w:rPr>
          <w:sz w:val="24"/>
          <w:b/>
        </w:rPr>
        <w:t>份，采购代理执</w:t>
      </w:r>
      <w:r>
        <w:rPr>
          <w:sz w:val="24"/>
          <w:b/>
          <w:u w:val="single"/>
        </w:rPr>
        <w:t xml:space="preserve"> 壹 </w:t>
      </w:r>
      <w:r>
        <w:rPr>
          <w:sz w:val="24"/>
          <w:b/>
        </w:rPr>
        <w:t>份，具有同等法律效力。</w:t>
      </w:r>
    </w:p>
    <w:p>
      <w:pPr>
        <w:pStyle w:val="null3"/>
        <w:ind w:firstLine="482"/>
        <w:jc w:val="both"/>
      </w:pPr>
      <w:r>
        <w:rPr>
          <w:sz w:val="24"/>
          <w:b/>
        </w:rPr>
        <w:t>第十五条 本合同经双方签字盖章后生效。</w:t>
      </w:r>
    </w:p>
    <w:p>
      <w:pPr>
        <w:pStyle w:val="null3"/>
        <w:ind w:firstLine="480"/>
        <w:jc w:val="both"/>
      </w:pPr>
      <w:r>
        <w:rPr>
          <w:sz w:val="24"/>
        </w:rPr>
        <w:t>附件：花都区2024年度耕地保护专项工作技术服务项目任务书</w:t>
      </w:r>
    </w:p>
    <w:p>
      <w:pPr>
        <w:pStyle w:val="null3"/>
        <w:ind w:firstLine="480"/>
        <w:jc w:val="both"/>
      </w:pPr>
      <w:r>
        <w:rPr/>
        <w:t xml:space="preserve"> </w:t>
      </w:r>
    </w:p>
    <w:p>
      <w:pPr>
        <w:pStyle w:val="null3"/>
        <w:ind w:firstLine="480"/>
        <w:jc w:val="both"/>
      </w:pPr>
      <w:r>
        <w:rPr>
          <w:sz w:val="24"/>
        </w:rPr>
        <w:t>甲方（盖章）：                                   乙方（盖章）：</w:t>
      </w:r>
    </w:p>
    <w:p>
      <w:pPr>
        <w:pStyle w:val="null3"/>
        <w:ind w:firstLine="480"/>
        <w:jc w:val="both"/>
      </w:pPr>
      <w:r>
        <w:rPr>
          <w:sz w:val="24"/>
        </w:rPr>
        <w:t>法定/授权代表人（签字）：                 法定/授权代表人（签字）：</w:t>
      </w:r>
    </w:p>
    <w:p>
      <w:pPr>
        <w:pStyle w:val="null3"/>
        <w:ind w:firstLine="480"/>
        <w:jc w:val="both"/>
      </w:pPr>
      <w:r>
        <w:rPr>
          <w:sz w:val="24"/>
        </w:rPr>
        <w:t>签订时间： 年 月 日                             签订时间： 年 月 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印花税票粘贴处：</w:t>
      </w:r>
    </w:p>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440114-2024-05381</w:t>
      </w:r>
    </w:p>
    <w:p>
      <w:pPr>
        <w:pStyle w:val="null3"/>
        <w:jc w:val="center"/>
        <w:outlineLvl w:val="3"/>
      </w:pPr>
      <w:r>
        <w:rPr>
          <w:sz w:val="24"/>
          <w:b/>
        </w:rPr>
        <w:t>采购项目编号：</w:t>
      </w:r>
      <w:r>
        <w:rPr>
          <w:sz w:val="24"/>
          <w:b/>
        </w:rPr>
        <w:t>GZCQC2400FG04001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花都区2024年度耕地保护专项工作技术服务项目</w:t>
      </w:r>
      <w:r>
        <w:rPr>
          <w:u w:val="single"/>
        </w:rPr>
        <w:t>”</w:t>
      </w:r>
      <w:r>
        <w:rPr/>
        <w:t>项目的招标[采购项目编号为：</w:t>
      </w:r>
      <w:r>
        <w:rPr>
          <w:u w:val="single"/>
        </w:rPr>
        <w:t>GZCQC2400FG04001</w:t>
      </w:r>
      <w:r>
        <w:rPr/>
        <w:t>]，我方愿参与投标。</w:t>
      </w:r>
    </w:p>
    <w:p>
      <w:pPr>
        <w:pStyle w:val="null3"/>
        <w:ind w:firstLine="480"/>
      </w:pPr>
      <w:r>
        <w:rPr/>
        <w:t>我方确认收到贵方提供的</w:t>
      </w:r>
      <w:r>
        <w:rPr>
          <w:u w:val="single"/>
        </w:rPr>
        <w:t>“</w:t>
      </w:r>
      <w:r>
        <w:rPr>
          <w:u w:val="single"/>
        </w:rPr>
        <w:t>花都区2024年度耕地保护专项工作技术服务项目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花都区2024年度耕地保护专项工作技术服务项目</w:t>
      </w:r>
      <w:r>
        <w:rPr/>
        <w:t>”项目采购[采购项目编号为</w:t>
      </w:r>
      <w:r>
        <w:rPr/>
        <w:t>GZCQC2400FG04001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广州市规划和自然资源局花都区分局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花都区2024年度耕地保护专项工作技术服务项目</w:t>
      </w:r>
      <w:r>
        <w:rPr/>
        <w:t>招标中获中标（采购项目编号：</w:t>
      </w:r>
      <w:r>
        <w:rPr/>
        <w:t>GZCQC2400FG04001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