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440101-2024-16908</w:t>
      </w:r>
    </w:p>
    <w:p>
      <w:pPr>
        <w:pStyle w:val="null3"/>
        <w:jc w:val="center"/>
        <w:outlineLvl w:val="3"/>
      </w:pPr>
      <w:r>
        <w:rPr>
          <w:sz w:val="24"/>
          <w:b/>
        </w:rPr>
        <w:t>采购项目编号：</w:t>
      </w:r>
      <w:r>
        <w:rPr>
          <w:sz w:val="24"/>
          <w:b/>
        </w:rPr>
        <w:t>GZCQC2400FG04019</w:t>
      </w:r>
    </w:p>
    <w:p>
      <w:pPr>
        <w:pStyle w:val="null3"/>
        <w:jc w:val="center"/>
        <w:outlineLvl w:val="3"/>
      </w:pPr>
      <w:r>
        <w:rPr>
          <w:sz w:val="24"/>
          <w:b/>
        </w:rPr>
        <w:t>项目名称：</w:t>
      </w:r>
      <w:r>
        <w:rPr>
          <w:sz w:val="24"/>
          <w:b/>
        </w:rPr>
        <w:t>城维计划-广州市城中村整治提升实施纲要及试点</w:t>
      </w:r>
    </w:p>
    <w:p>
      <w:pPr>
        <w:pStyle w:val="null3"/>
        <w:jc w:val="center"/>
        <w:outlineLvl w:val="3"/>
      </w:pPr>
      <w:r>
        <w:rPr>
          <w:sz w:val="24"/>
          <w:b/>
        </w:rPr>
        <w:t>采购人：</w:t>
      </w:r>
      <w:r>
        <w:rPr>
          <w:sz w:val="24"/>
          <w:b/>
        </w:rPr>
        <w:t>广州市住房和城乡建设局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广州市住房和城乡建设局</w:t>
      </w:r>
      <w:r>
        <w:rPr/>
        <w:t>的委托，采用</w:t>
      </w:r>
      <w:r>
        <w:rPr/>
        <w:t>公开招标</w:t>
      </w:r>
      <w:r>
        <w:rPr/>
        <w:t>方式组织采购</w:t>
      </w:r>
      <w:r>
        <w:rPr/>
        <w:t>城维计划-广州市城中村整治提升实施纲要及试点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城维计划-广州市城中村整治提升实施纲要及试点</w:t>
      </w:r>
    </w:p>
    <w:p>
      <w:pPr>
        <w:pStyle w:val="null3"/>
        <w:ind w:firstLine="480"/>
      </w:pPr>
      <w:r>
        <w:rPr/>
        <w:t>采购计划编号：</w:t>
      </w:r>
      <w:r>
        <w:rPr/>
        <w:t>440101-2024-16908</w:t>
      </w:r>
    </w:p>
    <w:p>
      <w:pPr>
        <w:pStyle w:val="null3"/>
        <w:ind w:firstLine="480"/>
      </w:pPr>
      <w:r>
        <w:rPr/>
        <w:t>采购项目编号：</w:t>
      </w:r>
      <w:r>
        <w:rPr/>
        <w:t>GZCQC2400FG04019</w:t>
      </w:r>
    </w:p>
    <w:p>
      <w:pPr>
        <w:pStyle w:val="null3"/>
        <w:ind w:firstLine="480"/>
      </w:pPr>
      <w:r>
        <w:rPr/>
        <w:t>采购方式：</w:t>
      </w:r>
      <w:r>
        <w:rPr/>
        <w:t>公开招标</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采购包1(城维计划-广州市城中村整治提升实施纲要及试点):</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城维计划-广州市城中村整治提升实施纲要及试点</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合同履行期限：本项目周期预期为120天。自合同生效起至项目成果完成（若项目受不可控因素影响，则顺延）。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采购包1（城维计划-广州市城中村整治提升实施纲要及试点）：</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采购包。 本采购包的所属行业为“其他未列明行业”，请按该行业划分标准进行中小企业声明。</w:t>
      </w:r>
    </w:p>
    <w:p>
      <w:pPr>
        <w:pStyle w:val="null3"/>
        <w:outlineLvl w:val="3"/>
      </w:pPr>
      <w:r>
        <w:rPr>
          <w:sz w:val="24"/>
          <w:b/>
        </w:rPr>
        <w:t>3.本项目特定的资格要求：</w:t>
      </w:r>
    </w:p>
    <w:p>
      <w:pPr>
        <w:pStyle w:val="null3"/>
      </w:pPr>
      <w:r>
        <w:rPr/>
        <w:t>采购包1（城维计划-广州市城中村整治提升实施纲要及试点）：</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5)投标人应具备城乡规划编制乙级或以上资质。（提供资质证书复印件，如相关主管部门有最新政策，按最新政策执行。）</w:t>
      </w:r>
    </w:p>
    <w:p>
      <w:pPr>
        <w:pStyle w:val="null3"/>
      </w:pPr>
      <w:r>
        <w:rPr/>
        <w:t>6)本项目不接受联合体投标。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广州市住房和城乡建设局</w:t>
      </w:r>
    </w:p>
    <w:p>
      <w:pPr>
        <w:pStyle w:val="null3"/>
        <w:ind w:firstLine="480"/>
      </w:pPr>
      <w:r>
        <w:rPr/>
        <w:t xml:space="preserve"> 地址：</w:t>
      </w:r>
      <w:r>
        <w:rPr/>
        <w:t>广州市越秀区府前路1号3号楼</w:t>
      </w:r>
    </w:p>
    <w:p>
      <w:pPr>
        <w:pStyle w:val="null3"/>
        <w:ind w:firstLine="480"/>
      </w:pPr>
      <w:r>
        <w:rPr/>
        <w:t xml:space="preserve"> 联系方式：</w:t>
      </w:r>
      <w:r>
        <w:rPr/>
        <w:t>020-83124869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（一）项目背景</w:t>
      </w:r>
    </w:p>
    <w:p>
      <w:pPr>
        <w:pStyle w:val="null3"/>
        <w:ind w:firstLine="480"/>
        <w:jc w:val="both"/>
      </w:pPr>
      <w:r>
        <w:rPr>
          <w:sz w:val="24"/>
        </w:rPr>
        <w:t>2023年4月，中共中央政治局会议提出“在超大特大城市积极稳步推进城中村改造”。7月，国务院常务会议审议通过《关于在超大特大城市积极稳步推进城中村改造的指导意见》，明确“具备条件的城中村实施拆除新建；不具备条件的不可强行推进，要开展经常性整治提升，防控风险隐患”。当前，我市城中村存量规模大，改造需求迫切，大量城中村因受规划管控、经济平衡等条件限制，不具备采用拆除新建方式实施的条件，需通过整治提升方式推进，但现阶段我市城中村整治提升相关政策有待完善，试点项目较少，成功案例不多。在此背景下，通过开展城中村整治提升实施纲要编制工作，明确任务清单，完善相关配套政策，有利于夯实城中村安全底线，优化人居环境品质，系统完善城市功能，不断提高城市规划建设治理水平和核心竞争力，为高质量实现老城市新活力、“四个出新出彩”提供支撑。</w:t>
      </w:r>
    </w:p>
    <w:p>
      <w:pPr>
        <w:pStyle w:val="null3"/>
        <w:ind w:firstLine="480"/>
        <w:jc w:val="both"/>
      </w:pPr>
      <w:r>
        <w:rPr>
          <w:sz w:val="24"/>
          <w:b/>
        </w:rPr>
        <w:t>（二）★项目采购预算（最高限价）：</w:t>
      </w:r>
      <w:r>
        <w:rPr>
          <w:sz w:val="24"/>
        </w:rPr>
        <w:t>人民币贰佰肆拾万元整（￥2,400,000.00元），凡超出最高限价的，一律视为无效投标。</w:t>
      </w:r>
    </w:p>
    <w:p>
      <w:pPr>
        <w:pStyle w:val="null3"/>
      </w:pPr>
      <w:r>
        <w:rPr/>
        <w:t>采购包1（城维计划-广州市城中村整治提升实施纲要及试点）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本项目周期预期为120天。自合同生效起至项目成果完成（若项目受不可控因素影响，则顺延）。</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1期：支付比例30%,合同签订生效后5个工作日内，采购人向中标人支付合同总金额30%作为预付款。</w:t>
            </w:r>
          </w:p>
          <w:p>
            <w:pPr>
              <w:pStyle w:val="null3"/>
            </w:pPr>
            <w:r>
              <w:rPr/>
              <w:t>2期：支付比例20%,中标人按期提交中期成果后15日内，采购人向中标人支付合同总金额20%作为进度款。</w:t>
            </w:r>
          </w:p>
          <w:p>
            <w:pPr>
              <w:pStyle w:val="null3"/>
            </w:pPr>
            <w:r>
              <w:rPr/>
              <w:t>3期：支付比例30%,中标人提交终期成果后15日内，采购人向中标人支付合同总金额30%作为进度款。</w:t>
            </w:r>
          </w:p>
          <w:p>
            <w:pPr>
              <w:pStyle w:val="null3"/>
            </w:pPr>
            <w:r>
              <w:rPr/>
              <w:t>4期：支付比例20%,终期成果经采购人验收通过，结算经市财政局或采购人审核后视财政资金到位情况付清合同结算尾款。 注： （1）采购人按财政管理相关规定办理支付手续。 （2）中标人须根据工作完成进度提供以下相关文件材料申请支付： ①合同； ②中标人开具的合法等额的增值税普通发票； ③中标通知书； ④支付费用申请函； ⑤成果报告。 （3）采购人向中标人支付费用时，中标人需在付款前提供合法等额的增值税普通发票，否则采购人有权延迟付款。且本项目款项使用的是财政资金，前款规定的付款时间实际为采购人向政府采购支付部门提出办理财政支付申请手续的时间（不含政府财政支付部门审核的时间），在规定时间内提出支付申请手续后即视为采购人已经按期支付。因政府财政支付进度导致的逾期支付，不视为采购人违约。在中国境内、外发生的与本合同执行有关的一切税费均由中标人负担。</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1．中标人完成技术服务工作的形式：依据采购人要求提交工作成果，成果文件应当以纸质文件（打印装订文件）和电子文件（电子光盘）两种方式表达。纸质文件要求做到，准确、完整地阐述工作内容。 2．技术服务工作成果的验收标准：依据采购需求，并符合采购人最终成果的档案归档和上报审批要求。 3．技术服务工作成果的验收方法：通过采购人的审查后，由采购人出具同意结题函并归档。 4．验收的时间和地点：（视项目具体完成时间定）广州。</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城维计划-广州市城中村整治提升实施纲要及试点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2,400,000.00</w:t>
            </w:r>
          </w:p>
        </w:tc>
        <w:tc>
          <w:tcPr>
            <w:tcW w:type="dxa" w:w="933"/>
          </w:tcPr>
          <w:p>
            <w:pPr>
              <w:pStyle w:val="null3"/>
              <w:jc w:val="right"/>
            </w:pPr>
            <w:r>
              <w:rPr/>
              <w:t>2,400,000.00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城维计划-广州市城中村整治提升实施纲要及试点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一、项目背景</w:t>
            </w:r>
          </w:p>
          <w:p>
            <w:pPr>
              <w:pStyle w:val="null3"/>
              <w:ind w:firstLine="480"/>
              <w:jc w:val="both"/>
            </w:pPr>
            <w:r>
              <w:rPr>
                <w:sz w:val="24"/>
              </w:rPr>
              <w:t>相关政策法规均对城中村整治提升工作提出了要求，强调对于不具备拆除新建条件的城中村，要开展经常性整治提升，防控风险隐患。</w:t>
            </w:r>
          </w:p>
          <w:p>
            <w:pPr>
              <w:pStyle w:val="null3"/>
              <w:ind w:firstLine="480"/>
              <w:jc w:val="left"/>
            </w:pPr>
            <w:r>
              <w:rPr>
                <w:sz w:val="24"/>
              </w:rPr>
              <w:t>为加快推动城中村整治提升工作，系统研究谋划整治提升类城中村改造工作机制、工作流程和工作模式，亟需深入调研、摸清任务底数、明确目标清单，提出城中村改造引导策略，搭建工作体系，并结合我市实际，提出专业性、建设性、切实管用的政策建议，为制定全市城中村整治提升的行动计划，开展整治工作提供技术支持。</w:t>
            </w:r>
          </w:p>
        </w:tc>
      </w:tr>
      <w:tr>
        <w:tc>
          <w:tcPr>
            <w:tcW w:type="dxa" w:w="2076"/>
          </w:tcPr>
          <w:p/>
        </w:tc>
        <w:tc>
          <w:tcPr>
            <w:tcW w:type="dxa" w:w="415"/>
          </w:tcPr>
          <w:p>
            <w:pPr>
              <w:pStyle w:val="null3"/>
            </w:pPr>
            <w:r>
              <w:rPr/>
              <w:t>2</w:t>
            </w:r>
          </w:p>
        </w:tc>
        <w:tc>
          <w:tcPr>
            <w:tcW w:type="dxa" w:w="5814"/>
          </w:tcPr>
          <w:p>
            <w:pPr>
              <w:pStyle w:val="null3"/>
              <w:jc w:val="both"/>
            </w:pPr>
            <w:r>
              <w:rPr>
                <w:sz w:val="24"/>
                <w:b/>
              </w:rPr>
              <w:t>二、工作目标</w:t>
            </w:r>
          </w:p>
          <w:p>
            <w:pPr>
              <w:pStyle w:val="null3"/>
              <w:ind w:firstLine="480"/>
              <w:jc w:val="both"/>
            </w:pPr>
            <w:r>
              <w:rPr>
                <w:sz w:val="24"/>
              </w:rPr>
              <w:t>围绕落实“留改拆”并举的工作主线，结合先进地区经验和广州实际情况，深入研究城中村常态化、多样化、特色化的整治提升路径，提出消除安全隐患、补齐配套短板、改善人居环境、传承历史文化和产业转型升级等工作建议，使城中村居民获得感、幸福感、安全感更加充实、更有保障、更可持续。具体工作目标如下：</w:t>
            </w:r>
          </w:p>
          <w:p>
            <w:pPr>
              <w:pStyle w:val="null3"/>
              <w:ind w:firstLine="480"/>
              <w:jc w:val="both"/>
            </w:pPr>
            <w:r>
              <w:rPr>
                <w:sz w:val="24"/>
              </w:rPr>
              <w:t>（一）提出统筹全市城中村整治提升工作的工作建议</w:t>
            </w:r>
          </w:p>
          <w:p>
            <w:pPr>
              <w:pStyle w:val="null3"/>
              <w:ind w:firstLine="480"/>
              <w:jc w:val="both"/>
            </w:pPr>
            <w:r>
              <w:rPr>
                <w:sz w:val="24"/>
              </w:rPr>
              <w:t>协助摸清全市城中村整治提升任务底数，衔接城中村专项体检评估，从全市层面提出统筹谋划城中村整治提升工作建议，系统研究城中村整治提升的空间统筹策略，推动城中村整治提升工作积极稳步推进。</w:t>
            </w:r>
          </w:p>
          <w:p>
            <w:pPr>
              <w:pStyle w:val="null3"/>
              <w:ind w:firstLine="480"/>
              <w:jc w:val="both"/>
            </w:pPr>
            <w:r>
              <w:rPr>
                <w:sz w:val="24"/>
              </w:rPr>
              <w:t>（二）提出城中村整治提升规划、建设和管理策略</w:t>
            </w:r>
          </w:p>
          <w:p>
            <w:pPr>
              <w:pStyle w:val="null3"/>
              <w:ind w:firstLine="480"/>
              <w:jc w:val="both"/>
            </w:pPr>
            <w:r>
              <w:rPr>
                <w:sz w:val="24"/>
              </w:rPr>
              <w:t>通过系统研究、分析，提出城中村整治提升的分区分类对策，积极探索合作共赢模式，提出实施刚弹管控要求，梳理项目清单，提出改造策略，引导项目有序推进。</w:t>
            </w:r>
          </w:p>
        </w:tc>
      </w:tr>
      <w:tr>
        <w:tc>
          <w:tcPr>
            <w:tcW w:type="dxa" w:w="2076"/>
          </w:tcPr>
          <w:p/>
        </w:tc>
        <w:tc>
          <w:tcPr>
            <w:tcW w:type="dxa" w:w="415"/>
          </w:tcPr>
          <w:p>
            <w:pPr>
              <w:pStyle w:val="null3"/>
            </w:pPr>
            <w:r>
              <w:rPr/>
              <w:t>3</w:t>
            </w:r>
          </w:p>
        </w:tc>
        <w:tc>
          <w:tcPr>
            <w:tcW w:type="dxa" w:w="5814"/>
          </w:tcPr>
          <w:p>
            <w:pPr>
              <w:pStyle w:val="null3"/>
              <w:jc w:val="both"/>
            </w:pPr>
            <w:r>
              <w:rPr>
                <w:sz w:val="24"/>
                <w:b/>
              </w:rPr>
              <w:t>三、工作内容</w:t>
            </w:r>
          </w:p>
          <w:p>
            <w:pPr>
              <w:pStyle w:val="null3"/>
              <w:ind w:firstLine="480"/>
              <w:jc w:val="both"/>
            </w:pPr>
            <w:r>
              <w:rPr>
                <w:sz w:val="24"/>
              </w:rPr>
              <w:t>按照城中村整治提升相关政策的要求，配合开展底数摸查、明确目标、确定模式、资金筹措、时序安排、实施保障等工作，具体内容如下：</w:t>
            </w:r>
          </w:p>
          <w:p>
            <w:pPr>
              <w:pStyle w:val="null3"/>
              <w:ind w:firstLine="480"/>
              <w:jc w:val="both"/>
            </w:pPr>
            <w:r>
              <w:rPr>
                <w:sz w:val="24"/>
              </w:rPr>
              <w:t>（一）底数摸查。结合全市城中村用地边界、用地规模、建设情况和改造实施情况等基本信息，合理划定整治提升类城中村，统计改造数量及规模，汇总形成改造清单。</w:t>
            </w:r>
          </w:p>
          <w:p>
            <w:pPr>
              <w:pStyle w:val="null3"/>
              <w:ind w:firstLine="480"/>
              <w:jc w:val="both"/>
            </w:pPr>
            <w:r>
              <w:rPr>
                <w:sz w:val="24"/>
              </w:rPr>
              <w:t>（二）明确目标。综合分析区位条件、空间特征、资源禀赋等基本情况，结合城中村在房屋建设、安全治理、住房保障、产业发展、文化保护、基层管理等方面的特征，明确整治提升类城中村的改造范围和重点对象。</w:t>
            </w:r>
          </w:p>
          <w:p>
            <w:pPr>
              <w:pStyle w:val="null3"/>
              <w:ind w:firstLine="480"/>
              <w:jc w:val="both"/>
            </w:pPr>
            <w:r>
              <w:rPr>
                <w:sz w:val="24"/>
              </w:rPr>
              <w:t>（三）确定模式。研究城中村整治提升空间统筹策略，聚焦城市重点功能片区、安全隐患问题突出、改造迫切的片区，提出分片分区指引及分类改造策略。</w:t>
            </w:r>
          </w:p>
          <w:p>
            <w:pPr>
              <w:pStyle w:val="null3"/>
              <w:ind w:firstLine="480"/>
              <w:jc w:val="both"/>
            </w:pPr>
            <w:r>
              <w:rPr>
                <w:sz w:val="24"/>
              </w:rPr>
              <w:t>（四）资金筹措。探索政府、村、企多方合作改造模式；重点研究资金平衡模式及实施路径。</w:t>
            </w:r>
          </w:p>
          <w:p>
            <w:pPr>
              <w:pStyle w:val="null3"/>
              <w:ind w:firstLine="480"/>
              <w:jc w:val="both"/>
            </w:pPr>
            <w:r>
              <w:rPr>
                <w:sz w:val="24"/>
              </w:rPr>
              <w:t>（五）时序安排。明确整治提升重点项目储备原则，提出近期实施项目建议。综合评估、初步谋划一批试点项目，在下一阶段开展试点项目实施方案编制工作。</w:t>
            </w:r>
          </w:p>
          <w:p>
            <w:pPr>
              <w:pStyle w:val="null3"/>
              <w:ind w:firstLine="480"/>
              <w:jc w:val="left"/>
            </w:pPr>
            <w:r>
              <w:rPr>
                <w:sz w:val="24"/>
              </w:rPr>
              <w:t>（六）实施保障。完善保障机制，提出配套政策建议。</w:t>
            </w:r>
          </w:p>
        </w:tc>
      </w:tr>
      <w:tr>
        <w:tc>
          <w:tcPr>
            <w:tcW w:type="dxa" w:w="2076"/>
          </w:tcPr>
          <w:p/>
        </w:tc>
        <w:tc>
          <w:tcPr>
            <w:tcW w:type="dxa" w:w="415"/>
          </w:tcPr>
          <w:p>
            <w:pPr>
              <w:pStyle w:val="null3"/>
            </w:pPr>
            <w:r>
              <w:rPr/>
              <w:t>4</w:t>
            </w:r>
          </w:p>
        </w:tc>
        <w:tc>
          <w:tcPr>
            <w:tcW w:type="dxa" w:w="5814"/>
          </w:tcPr>
          <w:p>
            <w:pPr>
              <w:pStyle w:val="null3"/>
              <w:jc w:val="both"/>
            </w:pPr>
            <w:r>
              <w:rPr>
                <w:sz w:val="24"/>
                <w:b/>
              </w:rPr>
              <w:t>四、工作成果</w:t>
            </w:r>
          </w:p>
          <w:p>
            <w:pPr>
              <w:pStyle w:val="null3"/>
              <w:ind w:firstLine="480"/>
              <w:jc w:val="both"/>
            </w:pPr>
            <w:r>
              <w:rPr>
                <w:sz w:val="24"/>
              </w:rPr>
              <w:t>（一）成果构成</w:t>
            </w:r>
          </w:p>
          <w:p>
            <w:pPr>
              <w:pStyle w:val="null3"/>
              <w:ind w:firstLine="480"/>
              <w:jc w:val="both"/>
            </w:pPr>
            <w:r>
              <w:rPr>
                <w:sz w:val="24"/>
              </w:rPr>
              <w:t>《广州市城中村整治提升实施纲要及试点》成果文件由说明书及附件组成。</w:t>
            </w:r>
          </w:p>
          <w:p>
            <w:pPr>
              <w:pStyle w:val="null3"/>
              <w:ind w:firstLine="480"/>
              <w:jc w:val="both"/>
            </w:pPr>
            <w:r>
              <w:rPr>
                <w:sz w:val="24"/>
              </w:rPr>
              <w:t>（二）成果要求</w:t>
            </w:r>
          </w:p>
          <w:p>
            <w:pPr>
              <w:pStyle w:val="null3"/>
              <w:ind w:firstLine="480"/>
              <w:jc w:val="both"/>
            </w:pPr>
            <w:r>
              <w:rPr>
                <w:sz w:val="24"/>
              </w:rPr>
              <w:t>成果内容必须符合本采购项目内容的要求，清晰完整地表达研究思路。说明书应准确、完整地阐述工作内容所提到的相关内容。</w:t>
            </w:r>
          </w:p>
          <w:p>
            <w:pPr>
              <w:pStyle w:val="null3"/>
              <w:ind w:firstLine="480"/>
              <w:jc w:val="both"/>
            </w:pPr>
            <w:r>
              <w:rPr>
                <w:sz w:val="24"/>
              </w:rPr>
              <w:t>成果的表达应当清晰、规范，符合相关法律、法规和国家有关标准的要求。所有成果的计量单位均应采用国际标准计量单位。规划图纸和文字说明文件在能充分和清晰地表达设计理念的前提下，可采用计算机辅助、手绘等各种手法，做到清晰、完整，尺寸齐全、准确，同一成果的图纸尺寸必须统一。</w:t>
            </w:r>
          </w:p>
          <w:p>
            <w:pPr>
              <w:pStyle w:val="null3"/>
              <w:ind w:firstLine="480"/>
              <w:jc w:val="left"/>
            </w:pPr>
            <w:r>
              <w:rPr>
                <w:sz w:val="24"/>
              </w:rPr>
              <w:t>成果文件应当以纸质文件（打印装订文件）和电子文件（电子光盘）两种方式表达。纸质文件要求做到图文并茂，准确、完整地阐述规划意图和内容。采用A3或A4规格打印装订。电子文件要求提供刻录光盘，文件格式采用Microsoft Word 2003的*.doc格式文件，或PDF格式。</w:t>
            </w:r>
          </w:p>
        </w:tc>
      </w:tr>
      <w:tr>
        <w:tc>
          <w:tcPr>
            <w:tcW w:type="dxa" w:w="2076"/>
          </w:tcPr>
          <w:p/>
        </w:tc>
        <w:tc>
          <w:tcPr>
            <w:tcW w:type="dxa" w:w="415"/>
          </w:tcPr>
          <w:p>
            <w:pPr>
              <w:pStyle w:val="null3"/>
            </w:pPr>
            <w:r>
              <w:rPr/>
              <w:t>5</w:t>
            </w:r>
          </w:p>
        </w:tc>
        <w:tc>
          <w:tcPr>
            <w:tcW w:type="dxa" w:w="5814"/>
          </w:tcPr>
          <w:p>
            <w:pPr>
              <w:pStyle w:val="null3"/>
              <w:jc w:val="both"/>
            </w:pPr>
            <w:r>
              <w:rPr>
                <w:sz w:val="24"/>
                <w:b/>
              </w:rPr>
              <w:t>五、工作计划与时间安排</w:t>
            </w:r>
          </w:p>
          <w:p>
            <w:pPr>
              <w:pStyle w:val="null3"/>
              <w:ind w:firstLine="480"/>
              <w:jc w:val="both"/>
            </w:pPr>
            <w:r>
              <w:rPr>
                <w:sz w:val="24"/>
              </w:rPr>
              <w:t>本项目周期预期为120天。自合同生效起至项目成果完成（若项目受不可控因素影响，则顺延）。具体工作阶段及工作内容如下：</w:t>
            </w:r>
          </w:p>
          <w:tbl>
            <w:tblPr>
              <w:tblBorders>
                <w:top w:val="none" w:color="000000" w:sz="4"/>
                <w:left w:val="none" w:color="000000" w:sz="4"/>
                <w:bottom w:val="none" w:color="000000" w:sz="4"/>
                <w:right w:val="none" w:color="000000" w:sz="4"/>
                <w:insideH w:val="none"/>
                <w:insideV w:val="none"/>
              </w:tblBorders>
            </w:tblPr>
            <w:tblGrid>
              <w:gridCol w:w="634"/>
              <w:gridCol w:w="921"/>
              <w:gridCol w:w="829"/>
              <w:gridCol w:w="541"/>
              <w:gridCol w:w="2672"/>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年度</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合同内容</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工作阶段</w:t>
                  </w:r>
                </w:p>
              </w:tc>
              <w:tc>
                <w:tcPr>
                  <w:tcW w:type="dxa" w:w="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时间</w:t>
                  </w:r>
                </w:p>
              </w:tc>
              <w:tc>
                <w:tcPr>
                  <w:tcW w:type="dxa" w:w="26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工作内容</w:t>
                  </w:r>
                </w:p>
              </w:tc>
            </w:tr>
            <w:tr>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2024年</w:t>
                  </w:r>
                </w:p>
              </w:tc>
              <w:tc>
                <w:tcPr>
                  <w:tcW w:type="dxa" w:w="9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城维计划-广州市城中村整治提升实施纲要及试点</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前期谋划</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20天</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开展前期资料搜集、案例研究，提出技术路线，搭建总体研究框架，确定项目整体工作思路。</w:t>
                  </w:r>
                </w:p>
              </w:tc>
            </w:tr>
            <w:tr>
              <w:tc>
                <w:tcPr>
                  <w:tcW w:type="dxa" w:w="634"/>
                  <w:vMerge/>
                  <w:tcBorders>
                    <w:top w:val="none" w:color="000000" w:sz="4"/>
                    <w:left w:val="single" w:color="000000" w:sz="4"/>
                    <w:bottom w:val="single" w:color="000000" w:sz="4"/>
                    <w:right w:val="single" w:color="000000" w:sz="4"/>
                  </w:tcBorders>
                </w:tcPr>
                <w:p/>
              </w:tc>
              <w:tc>
                <w:tcPr>
                  <w:tcW w:type="dxa" w:w="921"/>
                  <w:vMerge/>
                  <w:tcBorders>
                    <w:top w:val="none" w:color="000000" w:sz="4"/>
                    <w:left w:val="non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初期成果</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40天</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摸清改造底数，梳理现状问题，提出改造策略、模式建议等，形成初步成果。</w:t>
                  </w:r>
                </w:p>
              </w:tc>
            </w:tr>
            <w:tr>
              <w:tc>
                <w:tcPr>
                  <w:tcW w:type="dxa" w:w="634"/>
                  <w:vMerge/>
                  <w:tcBorders>
                    <w:top w:val="none" w:color="000000" w:sz="4"/>
                    <w:left w:val="single" w:color="000000" w:sz="4"/>
                    <w:bottom w:val="single" w:color="000000" w:sz="4"/>
                    <w:right w:val="single" w:color="000000" w:sz="4"/>
                  </w:tcBorders>
                </w:tcPr>
                <w:p/>
              </w:tc>
              <w:tc>
                <w:tcPr>
                  <w:tcW w:type="dxa" w:w="921"/>
                  <w:vMerge/>
                  <w:tcBorders>
                    <w:top w:val="none" w:color="000000" w:sz="4"/>
                    <w:left w:val="non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中期成果</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40天</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开展初步方案工作，汇报初步成果并征求有关部门意见。</w:t>
                  </w:r>
                </w:p>
              </w:tc>
            </w:tr>
            <w:tr>
              <w:tc>
                <w:tcPr>
                  <w:tcW w:type="dxa" w:w="634"/>
                  <w:vMerge/>
                  <w:tcBorders>
                    <w:top w:val="none" w:color="000000" w:sz="4"/>
                    <w:left w:val="single" w:color="000000" w:sz="4"/>
                    <w:bottom w:val="single" w:color="000000" w:sz="4"/>
                    <w:right w:val="single" w:color="000000" w:sz="4"/>
                  </w:tcBorders>
                </w:tcPr>
                <w:p/>
              </w:tc>
              <w:tc>
                <w:tcPr>
                  <w:tcW w:type="dxa" w:w="921"/>
                  <w:vMerge/>
                  <w:tcBorders>
                    <w:top w:val="none" w:color="000000" w:sz="4"/>
                    <w:left w:val="non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终期成果</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20天</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按流程征求职能部门意见、开展专家评审等，提交最终成果。</w:t>
                  </w:r>
                </w:p>
              </w:tc>
            </w:tr>
          </w:tbl>
          <w:p>
            <w:pPr>
              <w:pStyle w:val="null3"/>
              <w:ind w:firstLine="480"/>
              <w:jc w:val="left"/>
            </w:pPr>
          </w:p>
        </w:tc>
      </w:tr>
      <w:tr>
        <w:tc>
          <w:tcPr>
            <w:tcW w:type="dxa" w:w="2076"/>
          </w:tcPr>
          <w:p/>
        </w:tc>
        <w:tc>
          <w:tcPr>
            <w:tcW w:type="dxa" w:w="415"/>
          </w:tcPr>
          <w:p>
            <w:pPr>
              <w:pStyle w:val="null3"/>
            </w:pPr>
            <w:r>
              <w:rPr/>
              <w:t>6</w:t>
            </w:r>
          </w:p>
        </w:tc>
        <w:tc>
          <w:tcPr>
            <w:tcW w:type="dxa" w:w="5814"/>
          </w:tcPr>
          <w:p>
            <w:pPr>
              <w:pStyle w:val="null3"/>
              <w:jc w:val="both"/>
            </w:pPr>
            <w:r>
              <w:rPr>
                <w:sz w:val="24"/>
                <w:b/>
              </w:rPr>
              <w:t>六、其他要求</w:t>
            </w:r>
          </w:p>
          <w:p>
            <w:pPr>
              <w:pStyle w:val="null3"/>
              <w:ind w:firstLine="480"/>
              <w:jc w:val="both"/>
            </w:pPr>
            <w:r>
              <w:rPr>
                <w:sz w:val="24"/>
              </w:rPr>
              <w:t>1.中标人需配备1名具备高级工程师或以上职称、注册城市规划师（或注册城乡规划师）资格的项目负责人。配置项目开展所需城市（城乡）规划、建筑设计、风景园林设计、给排水、结构、测绘等专业人员，每个专业至少1名中级及以上职称资格（副高级或以上职称资格为优）。</w:t>
            </w:r>
          </w:p>
          <w:p>
            <w:pPr>
              <w:pStyle w:val="null3"/>
              <w:ind w:firstLine="480"/>
              <w:jc w:val="both"/>
            </w:pPr>
            <w:r>
              <w:rPr>
                <w:sz w:val="24"/>
              </w:rPr>
              <w:t>2.按照采购人要求及本项目突发事项处理需要，提供相应的应急保障服务，自接到通知30分钟内（含30分钟）响应的。</w:t>
            </w:r>
          </w:p>
          <w:p>
            <w:pPr>
              <w:pStyle w:val="null3"/>
              <w:ind w:firstLine="480"/>
              <w:jc w:val="both"/>
            </w:pPr>
            <w:r>
              <w:rPr>
                <w:sz w:val="24"/>
              </w:rPr>
              <w:t>3.中标人应制定详尽的工作计划，包括但不限于：①对项目背景及研究内容的理解；②项目重点难点分析及合理化建议；③工作思路和技术路线；④工作服务方案；⑤时间计划安排；⑥质量保障措施等。全面落实执行并完成项目任务及相关工作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广州市住房和城乡建设局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采购机构代理服务收费标准：中标人须向采购代理机构交纳的代理服务费，收费标准参照《国家发改委关于招标代理服务费收费管理暂行办法》（计价格〔2002〕1980号）“服务招标”收费标准下浮25%计费： （1）以项目的中标金额作为收费的计算基数； （2）中标金额在100万以下的，代理服务费按1.5%计算；101万到500万的，按0.8%计算……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广州市城中村整治提升实施纲要及试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采购包1（城维计划-广州市城中村整治提升实施纲要及试点）：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采购包1（城维计划-广州市城中村整治提升实施纲要及试点）：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投标人应具备城乡规划编制乙级或以上资质。</w:t>
            </w:r>
          </w:p>
        </w:tc>
        <w:tc>
          <w:tcPr>
            <w:tcW w:type="dxa" w:w="4238"/>
          </w:tcPr>
          <w:p>
            <w:pPr>
              <w:pStyle w:val="null3"/>
            </w:pPr>
            <w:r>
              <w:rPr/>
              <w:t>投标人应具备城乡规划编制乙级或以上资质。（提供资质证书复印件，如相关主管部门有最新政策，按最新政策执行。）</w:t>
            </w:r>
          </w:p>
        </w:tc>
      </w:tr>
      <w:tr>
        <w:tc>
          <w:tcPr>
            <w:tcW w:type="dxa" w:w="890"/>
          </w:tcPr>
          <w:p>
            <w:pPr>
              <w:pStyle w:val="null3"/>
            </w:pPr>
            <w:r>
              <w:rPr/>
              <w:t>11</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本采购包不属于专门面向中小企业采购的采购包。</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采购包。 本采购包的所属行业为“其他未列明行业”，请按该行业划分标准进行中小企业声明。</w:t>
            </w:r>
          </w:p>
        </w:tc>
      </w:tr>
    </w:tbl>
    <w:p>
      <w:pPr>
        <w:pStyle w:val="null3"/>
        <w:ind w:firstLine="480"/>
      </w:pPr>
      <w:r>
        <w:rPr/>
        <w:t>表二符合性审查表：</w:t>
      </w:r>
    </w:p>
    <w:p>
      <w:pPr>
        <w:pStyle w:val="null3"/>
      </w:pPr>
      <w:r>
        <w:rPr/>
        <w:t>采购包1（城维计划-广州市城中村整治提升实施纲要及试点）：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采购包1(城维计划-广州市城中村整治提升实施纲要及试点):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对项目背景及研究内容的理解一 (4.0分)</w:t>
            </w:r>
          </w:p>
        </w:tc>
        <w:tc>
          <w:tcPr>
            <w:tcW w:type="dxa" w:w="5076"/>
          </w:tcPr>
          <w:p>
            <w:pPr>
              <w:pStyle w:val="null3"/>
              <w:jc w:val="left"/>
            </w:pPr>
            <w:r>
              <w:rPr/>
              <w:t>根据投标人对项目背景及研究内容的理解进行评审：内容包括①对项目背景、工作目标的理解；②工作思路、工作内容、项目成果的理解2项内容，每包含1项得2分，最高得4分。</w:t>
            </w:r>
          </w:p>
        </w:tc>
      </w:tr>
      <w:tr>
        <w:tc>
          <w:tcPr>
            <w:tcW w:type="dxa" w:w="922"/>
            <w:gridSpan w:val="2"/>
            <w:vMerge/>
          </w:tcPr>
          <w:p/>
        </w:tc>
        <w:tc>
          <w:tcPr>
            <w:tcW w:type="dxa" w:w="2307"/>
          </w:tcPr>
          <w:p>
            <w:pPr>
              <w:pStyle w:val="null3"/>
              <w:jc w:val="left"/>
            </w:pPr>
            <w:r>
              <w:rPr/>
              <w:t>对项目背景及研究内容的理解二 (6.0分)</w:t>
            </w:r>
            <w:r>
              <w:rPr/>
              <w:t>，（等次分值选择：</w:t>
            </w:r>
            <w:r>
              <w:rPr/>
              <w:t>0.0;</w:t>
            </w:r>
            <w:r>
              <w:rPr/>
              <w:t>1.0;</w:t>
            </w:r>
            <w:r>
              <w:rPr/>
              <w:t>3.0;</w:t>
            </w:r>
            <w:r>
              <w:rPr/>
              <w:t>6.0;</w:t>
            </w:r>
            <w:r>
              <w:rPr/>
              <w:t>）</w:t>
            </w:r>
          </w:p>
        </w:tc>
        <w:tc>
          <w:tcPr>
            <w:tcW w:type="dxa" w:w="5076"/>
          </w:tcPr>
          <w:p>
            <w:pPr>
              <w:pStyle w:val="null3"/>
              <w:jc w:val="left"/>
            </w:pPr>
            <w:r>
              <w:rPr/>
              <w:t>根据“对项目背景及研究内容的理解一”的评审内容： 1.投标人充分理解和掌握本项目背景和工作目标；明确本项目的工作思路和工作内容；对本项目成果的理解准确，完全满足且优于采购需求，得6分； 2.投标人能理解和掌握本项目背景和目标；明确本项目的工作思路和工作内容；对本项目成果的理解较为准确，基本满足采购需求，得3分； 3.投标人部分理解和掌握本项目背景和目标；本项目的工作思路和工作内容描述有缺失；对本项目成果的理解部分准确，部分满足采购需求，得1分； 4.其他或无响应，得0分。</w:t>
            </w:r>
          </w:p>
        </w:tc>
      </w:tr>
      <w:tr>
        <w:tc>
          <w:tcPr>
            <w:tcW w:type="dxa" w:w="922"/>
            <w:gridSpan w:val="2"/>
            <w:vMerge/>
          </w:tcPr>
          <w:p/>
        </w:tc>
        <w:tc>
          <w:tcPr>
            <w:tcW w:type="dxa" w:w="2307"/>
          </w:tcPr>
          <w:p>
            <w:pPr>
              <w:pStyle w:val="null3"/>
              <w:jc w:val="left"/>
            </w:pPr>
            <w:r>
              <w:rPr/>
              <w:t>项目重点难点分析及合理化建议 (10.0分)</w:t>
            </w:r>
          </w:p>
        </w:tc>
        <w:tc>
          <w:tcPr>
            <w:tcW w:type="dxa" w:w="5076"/>
          </w:tcPr>
          <w:p>
            <w:pPr>
              <w:pStyle w:val="null3"/>
              <w:jc w:val="left"/>
            </w:pPr>
            <w:r>
              <w:rPr/>
              <w:t>（1）能根据采购需求列举本项目的重难点，每列举一项得1分，本小项最高得5分； （2）根据上述的重难点提出响应的措施建议，每提出一条有效解决措施得1分，本小项最高得5分。</w:t>
            </w:r>
          </w:p>
        </w:tc>
      </w:tr>
      <w:tr>
        <w:tc>
          <w:tcPr>
            <w:tcW w:type="dxa" w:w="922"/>
            <w:gridSpan w:val="2"/>
            <w:vMerge/>
          </w:tcPr>
          <w:p/>
        </w:tc>
        <w:tc>
          <w:tcPr>
            <w:tcW w:type="dxa" w:w="2307"/>
          </w:tcPr>
          <w:p>
            <w:pPr>
              <w:pStyle w:val="null3"/>
              <w:jc w:val="left"/>
            </w:pPr>
            <w:r>
              <w:rPr/>
              <w:t>工作思路和技术路线一 (2.0分)</w:t>
            </w:r>
          </w:p>
        </w:tc>
        <w:tc>
          <w:tcPr>
            <w:tcW w:type="dxa" w:w="5076"/>
          </w:tcPr>
          <w:p>
            <w:pPr>
              <w:pStyle w:val="null3"/>
              <w:jc w:val="left"/>
            </w:pPr>
            <w:r>
              <w:rPr/>
              <w:t>根据投标人提供的工作思路和技术路线进行评审：内容包括①研究工作思路；②总体技术路线2项内容，每包含1项得1分，最高得2分。</w:t>
            </w:r>
          </w:p>
        </w:tc>
      </w:tr>
      <w:tr>
        <w:tc>
          <w:tcPr>
            <w:tcW w:type="dxa" w:w="922"/>
            <w:gridSpan w:val="2"/>
            <w:vMerge/>
          </w:tcPr>
          <w:p/>
        </w:tc>
        <w:tc>
          <w:tcPr>
            <w:tcW w:type="dxa" w:w="2307"/>
          </w:tcPr>
          <w:p>
            <w:pPr>
              <w:pStyle w:val="null3"/>
              <w:jc w:val="left"/>
            </w:pPr>
            <w:r>
              <w:rPr/>
              <w:t>工作思路和技术路线二 (3.0分)</w:t>
            </w:r>
            <w:r>
              <w:rPr/>
              <w:t>，（等次分值选择：</w:t>
            </w:r>
            <w:r>
              <w:rPr/>
              <w:t>0.0;</w:t>
            </w:r>
            <w:r>
              <w:rPr/>
              <w:t>1.0;</w:t>
            </w:r>
            <w:r>
              <w:rPr/>
              <w:t>2.0;</w:t>
            </w:r>
            <w:r>
              <w:rPr/>
              <w:t>3.0;</w:t>
            </w:r>
            <w:r>
              <w:rPr/>
              <w:t>）</w:t>
            </w:r>
          </w:p>
        </w:tc>
        <w:tc>
          <w:tcPr>
            <w:tcW w:type="dxa" w:w="5076"/>
          </w:tcPr>
          <w:p>
            <w:pPr>
              <w:pStyle w:val="null3"/>
              <w:jc w:val="left"/>
            </w:pPr>
            <w:r>
              <w:rPr/>
              <w:t>根据“工作思路和技术路线一”的评审内容： 1.工作方法与技术路线详细完整且重点突出，能提供具体步骤及解决关键性问题的方法，工作分工明确，完全满足且优于采购需求，得3分； 2.工作方法与技术路线基本完整，能提供相关的步骤及解决关键性问题的方法，工作分工基本明确，满足采购需求，得2分； 3.工作方法和工作流程不够完整、内容简单，能提供简单的步骤，有工作分工，部分满足采购需求，得1分； 4.其他或无响应，得0分。</w:t>
            </w:r>
          </w:p>
        </w:tc>
      </w:tr>
      <w:tr>
        <w:tc>
          <w:tcPr>
            <w:tcW w:type="dxa" w:w="922"/>
            <w:gridSpan w:val="2"/>
            <w:vMerge/>
          </w:tcPr>
          <w:p/>
        </w:tc>
        <w:tc>
          <w:tcPr>
            <w:tcW w:type="dxa" w:w="2307"/>
          </w:tcPr>
          <w:p>
            <w:pPr>
              <w:pStyle w:val="null3"/>
              <w:jc w:val="left"/>
            </w:pPr>
            <w:r>
              <w:rPr/>
              <w:t>工作服务方案一 (4.0分)</w:t>
            </w:r>
          </w:p>
        </w:tc>
        <w:tc>
          <w:tcPr>
            <w:tcW w:type="dxa" w:w="5076"/>
          </w:tcPr>
          <w:p>
            <w:pPr>
              <w:pStyle w:val="null3"/>
              <w:jc w:val="left"/>
            </w:pPr>
            <w:r>
              <w:rPr/>
              <w:t>根据投标人提供的工作服务方案进行评审：内容包括①初步方案构思；②工作策略2项内容，每包含1项得2分，最高得4分。</w:t>
            </w:r>
          </w:p>
        </w:tc>
      </w:tr>
      <w:tr>
        <w:tc>
          <w:tcPr>
            <w:tcW w:type="dxa" w:w="922"/>
            <w:gridSpan w:val="2"/>
            <w:vMerge/>
          </w:tcPr>
          <w:p/>
        </w:tc>
        <w:tc>
          <w:tcPr>
            <w:tcW w:type="dxa" w:w="2307"/>
          </w:tcPr>
          <w:p>
            <w:pPr>
              <w:pStyle w:val="null3"/>
              <w:jc w:val="left"/>
            </w:pPr>
            <w:r>
              <w:rPr/>
              <w:t>工作服务方案二 (6.0分)</w:t>
            </w:r>
            <w:r>
              <w:rPr/>
              <w:t>，（等次分值选择：</w:t>
            </w:r>
            <w:r>
              <w:rPr/>
              <w:t>0.0;</w:t>
            </w:r>
            <w:r>
              <w:rPr/>
              <w:t>1.0;</w:t>
            </w:r>
            <w:r>
              <w:rPr/>
              <w:t>3.0;</w:t>
            </w:r>
            <w:r>
              <w:rPr/>
              <w:t>6.0;</w:t>
            </w:r>
            <w:r>
              <w:rPr/>
              <w:t>）</w:t>
            </w:r>
          </w:p>
        </w:tc>
        <w:tc>
          <w:tcPr>
            <w:tcW w:type="dxa" w:w="5076"/>
          </w:tcPr>
          <w:p>
            <w:pPr>
              <w:pStyle w:val="null3"/>
              <w:jc w:val="left"/>
            </w:pPr>
            <w:r>
              <w:rPr/>
              <w:t>根据“工作服务方案一”的评审内容： 1.工作服务方案能体现采购需求的目标和全部工作要求和内容，初步方案构思清晰、科学、可行，工作策略重点突出，指导性强，完全满足且优于采购需求，得6分； 2.工作服务方案基本能体现采购需求的目标和原则，初步方案构思合理可行，工作策略基本准确，基本满足采购需求，得3分； 3.工作服务方案能部分体现采购需求的目标和原则，初步方案构思部分合理，工作策略把握程度一般，部分满足采购需求，得1分； 4. 其他或无响应，得0分。</w:t>
            </w:r>
          </w:p>
        </w:tc>
      </w:tr>
      <w:tr>
        <w:tc>
          <w:tcPr>
            <w:tcW w:type="dxa" w:w="922"/>
            <w:gridSpan w:val="2"/>
            <w:vMerge/>
          </w:tcPr>
          <w:p/>
        </w:tc>
        <w:tc>
          <w:tcPr>
            <w:tcW w:type="dxa" w:w="2307"/>
          </w:tcPr>
          <w:p>
            <w:pPr>
              <w:pStyle w:val="null3"/>
              <w:jc w:val="left"/>
            </w:pPr>
            <w:r>
              <w:rPr/>
              <w:t>时间计划安排一 (2.0分)</w:t>
            </w:r>
          </w:p>
        </w:tc>
        <w:tc>
          <w:tcPr>
            <w:tcW w:type="dxa" w:w="5076"/>
          </w:tcPr>
          <w:p>
            <w:pPr>
              <w:pStyle w:val="null3"/>
              <w:jc w:val="left"/>
            </w:pPr>
            <w:r>
              <w:rPr/>
              <w:t>根据投标人提供的时间计划安排进行评审：内容包括①各节点工作安排；②各节点工作时间计划安排2项内容，每包含1项得1分，最高得2分。</w:t>
            </w:r>
          </w:p>
        </w:tc>
      </w:tr>
      <w:tr>
        <w:tc>
          <w:tcPr>
            <w:tcW w:type="dxa" w:w="922"/>
            <w:gridSpan w:val="2"/>
            <w:vMerge/>
          </w:tcPr>
          <w:p/>
        </w:tc>
        <w:tc>
          <w:tcPr>
            <w:tcW w:type="dxa" w:w="2307"/>
          </w:tcPr>
          <w:p>
            <w:pPr>
              <w:pStyle w:val="null3"/>
              <w:jc w:val="left"/>
            </w:pPr>
            <w:r>
              <w:rPr/>
              <w:t>时间计划安排二 (3.0分)</w:t>
            </w:r>
            <w:r>
              <w:rPr/>
              <w:t>，（等次分值选择：</w:t>
            </w:r>
            <w:r>
              <w:rPr/>
              <w:t>0.0;</w:t>
            </w:r>
            <w:r>
              <w:rPr/>
              <w:t>1.0;</w:t>
            </w:r>
            <w:r>
              <w:rPr/>
              <w:t>3.0;</w:t>
            </w:r>
            <w:r>
              <w:rPr/>
              <w:t>）</w:t>
            </w:r>
          </w:p>
        </w:tc>
        <w:tc>
          <w:tcPr>
            <w:tcW w:type="dxa" w:w="5076"/>
          </w:tcPr>
          <w:p>
            <w:pPr>
              <w:pStyle w:val="null3"/>
              <w:jc w:val="left"/>
            </w:pPr>
            <w:r>
              <w:rPr/>
              <w:t>根据“时间计划安排一”的评审内容： 1.能提供详细明确的项目时间计划安排；设定明确的实施计划流程，每个工作节点衔接顺畅，每个工作节点衔接顺畅，工作计划详细、完整，承诺能按时交付成果，完全满足且优于采购需求，得3分； 2.投标人制定的项目时间计划安排、实施计划流程和工作计划简单、基本明确，承诺能按时交付成果，基本满足采购需求，得1分； 3.其他或无响应。得0分。</w:t>
            </w:r>
          </w:p>
        </w:tc>
      </w:tr>
      <w:tr>
        <w:tc>
          <w:tcPr>
            <w:tcW w:type="dxa" w:w="922"/>
            <w:gridSpan w:val="2"/>
            <w:vMerge/>
          </w:tcPr>
          <w:p/>
        </w:tc>
        <w:tc>
          <w:tcPr>
            <w:tcW w:type="dxa" w:w="2307"/>
          </w:tcPr>
          <w:p>
            <w:pPr>
              <w:pStyle w:val="null3"/>
              <w:jc w:val="left"/>
            </w:pPr>
            <w:r>
              <w:rPr/>
              <w:t>质量保障措施一 (2.0分)</w:t>
            </w:r>
          </w:p>
        </w:tc>
        <w:tc>
          <w:tcPr>
            <w:tcW w:type="dxa" w:w="5076"/>
          </w:tcPr>
          <w:p>
            <w:pPr>
              <w:pStyle w:val="null3"/>
              <w:jc w:val="left"/>
            </w:pPr>
            <w:r>
              <w:rPr/>
              <w:t>根据投标人提供的质量保障措施进行评审：内容包括①对成果文件的质量保证措施、②服务质量保障措施2项内容，每包含1项得1分，最高得2分。</w:t>
            </w:r>
          </w:p>
        </w:tc>
      </w:tr>
      <w:tr>
        <w:tc>
          <w:tcPr>
            <w:tcW w:type="dxa" w:w="922"/>
            <w:gridSpan w:val="2"/>
            <w:vMerge/>
          </w:tcPr>
          <w:p/>
        </w:tc>
        <w:tc>
          <w:tcPr>
            <w:tcW w:type="dxa" w:w="2307"/>
          </w:tcPr>
          <w:p>
            <w:pPr>
              <w:pStyle w:val="null3"/>
              <w:jc w:val="left"/>
            </w:pPr>
            <w:r>
              <w:rPr/>
              <w:t>质量保障措施二 (3.0分)</w:t>
            </w:r>
            <w:r>
              <w:rPr/>
              <w:t>，（等次分值选择：</w:t>
            </w:r>
            <w:r>
              <w:rPr/>
              <w:t>0.0;</w:t>
            </w:r>
            <w:r>
              <w:rPr/>
              <w:t>1.0;</w:t>
            </w:r>
            <w:r>
              <w:rPr/>
              <w:t>3.0;</w:t>
            </w:r>
            <w:r>
              <w:rPr/>
              <w:t>）</w:t>
            </w:r>
          </w:p>
        </w:tc>
        <w:tc>
          <w:tcPr>
            <w:tcW w:type="dxa" w:w="5076"/>
          </w:tcPr>
          <w:p>
            <w:pPr>
              <w:pStyle w:val="null3"/>
              <w:jc w:val="left"/>
            </w:pPr>
            <w:r>
              <w:rPr/>
              <w:t>根据“质量保障措施一”的评审内容： 1.质量保障措施完整，质量管理目标明确，承诺提供后期服务，具有对本项目长期跟踪研究服务的能力，完全满足且优于采购需求，得3分； 2.质量保障措施基本完整，质量管理目标基本明确，承诺提供后续服务，服务内容基本合理，基本满足采购需求，得1分； 3.其他或无响应，得0分。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投标人承担过城市更新政策、法规研究项目并完成印发的，每提供1个得1分，坐高得5分；注：提供上述证明材料。 投标人提供2020年1月1日起至今的同类项目业绩【“旧村（城中村）”规划类】并完成的，每提供一项得1分，最高得5分。 注：需提供合同关键页及方案批复文件（加盖公章），以批复时间为准。</w:t>
            </w:r>
          </w:p>
        </w:tc>
      </w:tr>
      <w:tr>
        <w:tc>
          <w:tcPr>
            <w:tcW w:type="dxa" w:w="922"/>
            <w:gridSpan w:val="2"/>
            <w:vMerge/>
          </w:tcPr>
          <w:p/>
        </w:tc>
        <w:tc>
          <w:tcPr>
            <w:tcW w:type="dxa" w:w="2307"/>
          </w:tcPr>
          <w:p>
            <w:pPr>
              <w:pStyle w:val="null3"/>
              <w:jc w:val="left"/>
            </w:pPr>
            <w:r>
              <w:rPr/>
              <w:t>企业管理体系认证 (3.0分)</w:t>
            </w:r>
          </w:p>
        </w:tc>
        <w:tc>
          <w:tcPr>
            <w:tcW w:type="dxa" w:w="5076"/>
          </w:tcPr>
          <w:p>
            <w:pPr>
              <w:pStyle w:val="null3"/>
              <w:jc w:val="left"/>
            </w:pPr>
            <w:r>
              <w:rPr/>
              <w:t>投标人具有有效期内的： 1.环境管理体系认证证书，得1分； 2.职业健康安全管理体系认证证书，得1分； 3.质量管理体系认证证书，得1分。 以上累计最高得3分。 注：提供证书扫描件并同时提供在全国认证认可信息公共服务平台对体系证书的信息查询截图作为评审依据，已暂停、已失效或撤销的不得分，新成立的公司因不满3个月无法办理认证证书的，可对应得分。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投标人拟派项目负责人情况： （1）项目负责人具备高级工程师或以上职称，得3分； （2）项目负责人具备注册城市规划师（或注册城乡规划师）资格的，得3分； （3）其余情况不得分。 注：需提供项目负责人职称证书、注册证书复印件及在本项目投标截止日之前6个月内任意1个月的本单位社保缴纳证明复印件或劳动合同复印件，并加盖公章，不提供不得分。</w:t>
            </w:r>
          </w:p>
        </w:tc>
      </w:tr>
      <w:tr>
        <w:tc>
          <w:tcPr>
            <w:tcW w:type="dxa" w:w="922"/>
            <w:gridSpan w:val="2"/>
            <w:vMerge/>
          </w:tcPr>
          <w:p/>
        </w:tc>
        <w:tc>
          <w:tcPr>
            <w:tcW w:type="dxa" w:w="2307"/>
          </w:tcPr>
          <w:p>
            <w:pPr>
              <w:pStyle w:val="null3"/>
              <w:jc w:val="left"/>
            </w:pPr>
            <w:r>
              <w:rPr/>
              <w:t>项目团队配备情况（不含项目负责人） (18.0分)</w:t>
            </w:r>
          </w:p>
        </w:tc>
        <w:tc>
          <w:tcPr>
            <w:tcW w:type="dxa" w:w="5076"/>
          </w:tcPr>
          <w:p>
            <w:pPr>
              <w:pStyle w:val="null3"/>
              <w:jc w:val="left"/>
            </w:pPr>
            <w:r>
              <w:rPr/>
              <w:t>投标人拟派项目团队配备（不含项目负责人）情况，配备项目开展所需城市（城乡）规划、建筑设计、风景园林设计、给排水、结构、测绘等专业人员： （1）项目团队具有城市（城乡）规划专业副高级或以上职称资格，得3分；具有城市（城乡）规划专业中级职称资格，得1分；其他不得分；本小项最高得3分。 （2）项目团队具有建筑设计专业副高级或以上职称资格，得3分；具有建筑设计专业中级职称资格，得1分；其他不得分；本小项最高得3分。 （3）项目团队具有风景园林设计专业副高级或以上职称资格，得3分；具有风景园林设计专业中级职称资格，得1分；其他不得分；本小项最高得3分。 （4）项目团队具有给排水专业副高级或以上职称资格，得3分；具有给排水专业中级职称资格，得1分；其他不得分；本小项最高得3分。 （5）项目团队具有结构专业副高级或以上职称资格，得3分；具有结构专业中级职称资格，得1分；其他不得分；本小项最高得3分。 （6）项目团队具有测绘专业副高级或以上职称资格，得3分；具有测绘专业中级职称资格，得1分；其他不得分；本小项最高得3分。 注：本项最高得18分。所需城市（城乡）规划、建筑设计、风景园林设计、给排水、结构、测绘等专业人员，每个专业至少配备1名。需提供上述人员相关有效证书和在本项目投标截止日之前6个月内任意1个月的本单位社保缴纳证明复印件或劳动合同复印件，并加盖公章，不提供不得分。</w:t>
            </w:r>
          </w:p>
        </w:tc>
      </w:tr>
      <w:tr>
        <w:tc>
          <w:tcPr>
            <w:tcW w:type="dxa" w:w="922"/>
            <w:gridSpan w:val="2"/>
            <w:vMerge/>
          </w:tcPr>
          <w:p/>
        </w:tc>
        <w:tc>
          <w:tcPr>
            <w:tcW w:type="dxa" w:w="2307"/>
          </w:tcPr>
          <w:p>
            <w:pPr>
              <w:pStyle w:val="null3"/>
              <w:jc w:val="left"/>
            </w:pPr>
            <w:r>
              <w:rPr/>
              <w:t>服务响应能力 (3.0分)</w:t>
            </w:r>
          </w:p>
        </w:tc>
        <w:tc>
          <w:tcPr>
            <w:tcW w:type="dxa" w:w="5076"/>
          </w:tcPr>
          <w:p>
            <w:pPr>
              <w:pStyle w:val="null3"/>
              <w:jc w:val="left"/>
            </w:pPr>
            <w:r>
              <w:rPr/>
              <w:t>投标人在采购人提出服务要求后的服务响应时间承诺： 1.响应时间≤30分钟的，得3分； 2.30分钟&lt;响应时间≤60分钟的，得1分； 3.其他情形不得分。 注：需提供承诺函原件并加盖投标人公章，不提供的不得分。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both"/>
      </w:pPr>
      <w:r>
        <w:rPr/>
        <w:t xml:space="preserve"> </w:t>
      </w:r>
    </w:p>
    <w:p>
      <w:pPr>
        <w:pStyle w:val="null3"/>
        <w:jc w:val="both"/>
      </w:pPr>
      <w:r>
        <w:rPr>
          <w:sz w:val="24"/>
        </w:rPr>
        <w:t>合同编号：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项目名称：城维计划-广州市城中村整治提升实施纲要及试点</w:t>
      </w:r>
    </w:p>
    <w:p>
      <w:pPr>
        <w:pStyle w:val="null3"/>
        <w:ind w:firstLine="560"/>
        <w:jc w:val="both"/>
      </w:pPr>
      <w:r>
        <w:rPr/>
        <w:t xml:space="preserve"> </w:t>
      </w:r>
    </w:p>
    <w:p>
      <w:pPr>
        <w:pStyle w:val="null3"/>
        <w:ind w:firstLine="560"/>
        <w:jc w:val="both"/>
      </w:pPr>
      <w:r>
        <w:rPr>
          <w:sz w:val="30"/>
          <w:b/>
        </w:rPr>
        <w:t>委托方：广州市住房和城乡建设局</w:t>
      </w:r>
    </w:p>
    <w:p>
      <w:pPr>
        <w:pStyle w:val="null3"/>
        <w:ind w:firstLine="560"/>
        <w:jc w:val="both"/>
      </w:pPr>
      <w:r>
        <w:rPr>
          <w:sz w:val="30"/>
          <w:b/>
        </w:rPr>
        <w:t>（甲方）</w:t>
      </w:r>
    </w:p>
    <w:p>
      <w:pPr>
        <w:pStyle w:val="null3"/>
        <w:ind w:firstLine="560"/>
        <w:jc w:val="both"/>
      </w:pPr>
      <w:r>
        <w:rPr/>
        <w:t xml:space="preserve"> </w:t>
      </w:r>
    </w:p>
    <w:p>
      <w:pPr>
        <w:pStyle w:val="null3"/>
        <w:ind w:firstLine="560"/>
        <w:jc w:val="both"/>
      </w:pPr>
      <w:r>
        <w:rPr>
          <w:sz w:val="30"/>
          <w:b/>
        </w:rPr>
        <w:t>受托方：（中标人）</w:t>
      </w:r>
    </w:p>
    <w:p>
      <w:pPr>
        <w:pStyle w:val="null3"/>
        <w:ind w:firstLine="560"/>
        <w:jc w:val="both"/>
      </w:pPr>
      <w:r>
        <w:rPr>
          <w:sz w:val="30"/>
          <w:b/>
        </w:rPr>
        <w:t>（乙方）</w:t>
      </w:r>
    </w:p>
    <w:p>
      <w:pPr>
        <w:pStyle w:val="null3"/>
        <w:ind w:firstLine="560"/>
        <w:jc w:val="both"/>
      </w:pPr>
      <w:r>
        <w:rPr/>
        <w:t xml:space="preserve"> </w:t>
      </w:r>
    </w:p>
    <w:p>
      <w:pPr>
        <w:pStyle w:val="null3"/>
        <w:ind w:firstLine="560"/>
        <w:jc w:val="both"/>
      </w:pPr>
      <w:r>
        <w:rPr>
          <w:sz w:val="30"/>
          <w:b/>
        </w:rPr>
        <w:t>签订时间：</w:t>
      </w:r>
    </w:p>
    <w:p>
      <w:pPr>
        <w:pStyle w:val="null3"/>
        <w:ind w:firstLine="560"/>
        <w:jc w:val="both"/>
      </w:pPr>
      <w:r>
        <w:rPr/>
        <w:t xml:space="preserve"> </w:t>
      </w:r>
    </w:p>
    <w:p>
      <w:pPr>
        <w:pStyle w:val="null3"/>
        <w:ind w:firstLine="560"/>
        <w:jc w:val="both"/>
      </w:pPr>
      <w:r>
        <w:rPr>
          <w:sz w:val="30"/>
          <w:b/>
        </w:rPr>
        <w:t>签订地点：中国广州市</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jc w:val="left"/>
      </w:pPr>
      <w:r>
        <w:rPr>
          <w:sz w:val="24"/>
          <w:b/>
        </w:rPr>
        <w:t>中华人民共和国科学技术部印制</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填写说明</w:t>
      </w:r>
    </w:p>
    <w:p>
      <w:pPr>
        <w:pStyle w:val="null3"/>
        <w:ind w:firstLine="426"/>
        <w:jc w:val="both"/>
      </w:pPr>
      <w:r>
        <w:rPr>
          <w:sz w:val="24"/>
        </w:rPr>
        <w:t>一、本合同为中华人民共和国科学技术部印制的技术服务合同示范文本，各技术合同认定登记机构可推介技术合同当事人参照使用。</w:t>
      </w:r>
    </w:p>
    <w:p>
      <w:pPr>
        <w:pStyle w:val="null3"/>
        <w:ind w:firstLine="426"/>
        <w:jc w:val="both"/>
      </w:pPr>
      <w:r>
        <w:rPr>
          <w:sz w:val="24"/>
        </w:rPr>
        <w:t>二、本合同书适用于一方当事人（受托方）以技术知识为另一方（委托方）解决特定技术问题所订立的合同。</w:t>
      </w:r>
    </w:p>
    <w:p>
      <w:pPr>
        <w:pStyle w:val="null3"/>
        <w:ind w:firstLine="426"/>
        <w:jc w:val="both"/>
      </w:pPr>
      <w:r>
        <w:rPr>
          <w:sz w:val="24"/>
        </w:rPr>
        <w:t>三、签约一方为多个当事人的，可按各自在合同关系中的作用等，在“委托方”、“受托方”项下（增页）分别排列为共同委托人或共同受托人。</w:t>
      </w:r>
    </w:p>
    <w:p>
      <w:pPr>
        <w:pStyle w:val="null3"/>
        <w:ind w:firstLine="426"/>
        <w:jc w:val="both"/>
      </w:pPr>
      <w:r>
        <w:rPr>
          <w:sz w:val="24"/>
        </w:rPr>
        <w:t>四、本合同书未尽事项，可由当事人附页另行约定，并作为本合同的组成部分。</w:t>
      </w:r>
    </w:p>
    <w:p>
      <w:pPr>
        <w:pStyle w:val="null3"/>
        <w:ind w:firstLine="426"/>
        <w:jc w:val="both"/>
      </w:pPr>
      <w:r>
        <w:rPr>
          <w:sz w:val="24"/>
        </w:rPr>
        <w:t>五、当事人使用本合同书时约定无需填写的条款，应在该条款处注明“无”等字样。</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jc w:val="center"/>
      </w:pPr>
      <w:r>
        <w:rPr>
          <w:sz w:val="27"/>
          <w:b/>
        </w:rPr>
        <w:t>技术服务合同</w:t>
      </w:r>
    </w:p>
    <w:p>
      <w:pPr>
        <w:pStyle w:val="null3"/>
        <w:jc w:val="center"/>
      </w:pPr>
      <w:r>
        <w:rPr>
          <w:sz w:val="24"/>
        </w:rPr>
        <w:t>委托方（甲方）：</w:t>
      </w:r>
      <w:r>
        <w:rPr>
          <w:sz w:val="24"/>
          <w:u w:val="single"/>
        </w:rPr>
        <w:t>广州市住房和城乡建设局</w:t>
      </w:r>
    </w:p>
    <w:p>
      <w:pPr>
        <w:pStyle w:val="null3"/>
        <w:jc w:val="both"/>
      </w:pPr>
      <w:r>
        <w:rPr>
          <w:sz w:val="24"/>
        </w:rPr>
        <w:t>住所地：</w:t>
      </w:r>
    </w:p>
    <w:p>
      <w:pPr>
        <w:pStyle w:val="null3"/>
        <w:jc w:val="both"/>
      </w:pPr>
      <w:r>
        <w:rPr>
          <w:sz w:val="24"/>
        </w:rPr>
        <w:t>法定代表人：</w:t>
      </w:r>
    </w:p>
    <w:p>
      <w:pPr>
        <w:pStyle w:val="null3"/>
        <w:jc w:val="both"/>
      </w:pPr>
      <w:r>
        <w:rPr>
          <w:sz w:val="24"/>
        </w:rPr>
        <w:t>项目联系人：</w:t>
      </w:r>
    </w:p>
    <w:p>
      <w:pPr>
        <w:pStyle w:val="null3"/>
        <w:jc w:val="both"/>
      </w:pPr>
      <w:r>
        <w:rPr>
          <w:sz w:val="24"/>
        </w:rPr>
        <w:t>通讯地址：</w:t>
      </w:r>
    </w:p>
    <w:p>
      <w:pPr>
        <w:pStyle w:val="null3"/>
        <w:jc w:val="both"/>
      </w:pPr>
      <w:r>
        <w:rPr>
          <w:sz w:val="24"/>
        </w:rPr>
        <w:t>电话：传真：</w:t>
      </w:r>
    </w:p>
    <w:p>
      <w:pPr>
        <w:pStyle w:val="null3"/>
        <w:jc w:val="both"/>
      </w:pPr>
      <w:r>
        <w:rPr>
          <w:sz w:val="24"/>
        </w:rPr>
        <w:t>电子信箱：</w:t>
      </w:r>
    </w:p>
    <w:p>
      <w:pPr>
        <w:pStyle w:val="null3"/>
        <w:jc w:val="both"/>
      </w:pPr>
      <w:r>
        <w:rPr>
          <w:sz w:val="24"/>
        </w:rPr>
        <w:t>受托方（乙方）：</w:t>
      </w:r>
      <w:r>
        <w:rPr>
          <w:sz w:val="24"/>
          <w:u w:val="single"/>
        </w:rPr>
        <w:t>（中标人）</w:t>
      </w:r>
    </w:p>
    <w:p>
      <w:pPr>
        <w:pStyle w:val="null3"/>
        <w:jc w:val="both"/>
      </w:pPr>
      <w:r>
        <w:rPr>
          <w:sz w:val="24"/>
        </w:rPr>
        <w:t>住所地：</w:t>
      </w:r>
    </w:p>
    <w:p>
      <w:pPr>
        <w:pStyle w:val="null3"/>
        <w:jc w:val="both"/>
      </w:pPr>
      <w:r>
        <w:rPr>
          <w:sz w:val="24"/>
        </w:rPr>
        <w:t>法定代表人：</w:t>
      </w:r>
    </w:p>
    <w:p>
      <w:pPr>
        <w:pStyle w:val="null3"/>
        <w:jc w:val="both"/>
      </w:pPr>
      <w:r>
        <w:rPr>
          <w:sz w:val="24"/>
        </w:rPr>
        <w:t>项目联系人：</w:t>
      </w:r>
    </w:p>
    <w:p>
      <w:pPr>
        <w:pStyle w:val="null3"/>
        <w:jc w:val="both"/>
      </w:pPr>
      <w:r>
        <w:rPr>
          <w:sz w:val="24"/>
        </w:rPr>
        <w:t>通讯地址：</w:t>
      </w:r>
    </w:p>
    <w:p>
      <w:pPr>
        <w:pStyle w:val="null3"/>
        <w:jc w:val="both"/>
      </w:pPr>
      <w:r>
        <w:rPr>
          <w:sz w:val="24"/>
        </w:rPr>
        <w:t>电话：传真：</w:t>
      </w:r>
    </w:p>
    <w:p>
      <w:pPr>
        <w:pStyle w:val="null3"/>
        <w:jc w:val="both"/>
      </w:pPr>
      <w:r>
        <w:rPr>
          <w:sz w:val="24"/>
        </w:rPr>
        <w:t>电子信箱：</w:t>
      </w:r>
    </w:p>
    <w:p>
      <w:pPr>
        <w:pStyle w:val="null3"/>
        <w:jc w:val="both"/>
      </w:pPr>
      <w:r>
        <w:rPr>
          <w:sz w:val="24"/>
        </w:rPr>
        <w:t>本合同甲方委托乙方就</w:t>
      </w:r>
      <w:r>
        <w:rPr>
          <w:sz w:val="24"/>
          <w:u w:val="single"/>
        </w:rPr>
        <w:t>城维计划-</w:t>
      </w:r>
      <w:r>
        <w:rPr>
          <w:sz w:val="24"/>
          <w:u w:val="single"/>
        </w:rPr>
        <w:t>广州市城中村整治提升实施纲要及试点</w:t>
      </w:r>
      <w:r>
        <w:rPr>
          <w:sz w:val="24"/>
        </w:rPr>
        <w:t>进行的专项技术服务，并支付相应的技术服务报酬。双方经过平等协商，在真实、充分地表达各自意愿的基础上，根据《中华人民共和国民法典》等法律法规的规定，达成如下协议，并由双方共同恪守。</w:t>
      </w:r>
    </w:p>
    <w:p>
      <w:pPr>
        <w:pStyle w:val="null3"/>
        <w:ind w:firstLine="422"/>
        <w:jc w:val="both"/>
      </w:pPr>
      <w:r>
        <w:rPr>
          <w:sz w:val="24"/>
          <w:b/>
        </w:rPr>
        <w:t>第一条：</w:t>
      </w:r>
      <w:r>
        <w:rPr>
          <w:sz w:val="24"/>
        </w:rPr>
        <w:t>甲方委托乙方进行技术服务的内容如下：</w:t>
      </w:r>
    </w:p>
    <w:p>
      <w:pPr>
        <w:pStyle w:val="null3"/>
        <w:ind w:firstLine="420"/>
        <w:jc w:val="left"/>
      </w:pPr>
      <w:r>
        <w:rPr>
          <w:sz w:val="24"/>
        </w:rPr>
        <w:t>按照城中村整治提升相关政策的要求，配合开展底数摸查、明确目标、确定模式、资金筹措、时序安排、实施保障等工作，具体内容如下：</w:t>
      </w:r>
    </w:p>
    <w:p>
      <w:pPr>
        <w:pStyle w:val="null3"/>
        <w:ind w:firstLine="420"/>
        <w:jc w:val="left"/>
      </w:pPr>
      <w:r>
        <w:rPr>
          <w:sz w:val="24"/>
        </w:rPr>
        <w:t>（一）底数摸查。结合全市城中村用地边界、用地规模、建设情况和改造实施情况等基本信息，合理划定整治提升类城中村，统计改造数量及规模，汇总形成改造清单。</w:t>
      </w:r>
    </w:p>
    <w:p>
      <w:pPr>
        <w:pStyle w:val="null3"/>
        <w:ind w:firstLine="420"/>
        <w:jc w:val="left"/>
      </w:pPr>
      <w:r>
        <w:rPr>
          <w:sz w:val="24"/>
        </w:rPr>
        <w:t>（二）明确目标。综合分析区位条件、空间特征、资源禀赋等基本情况，结合城中村在房屋建设、安全治理、住房保障、产业发展、文化保护、基层管理等方面的特征，明确整治提升类城中村的改造范围和重点对象。</w:t>
      </w:r>
    </w:p>
    <w:p>
      <w:pPr>
        <w:pStyle w:val="null3"/>
        <w:ind w:firstLine="420"/>
        <w:jc w:val="left"/>
      </w:pPr>
      <w:r>
        <w:rPr>
          <w:sz w:val="24"/>
        </w:rPr>
        <w:t>（三）确定模式。研究城中村整治提升空间统筹策略，聚焦城市重点功能片区、安全隐患问题突出、改造迫切的片区，提出分片分区指引及分类改造策略。</w:t>
      </w:r>
    </w:p>
    <w:p>
      <w:pPr>
        <w:pStyle w:val="null3"/>
        <w:ind w:firstLine="420"/>
        <w:jc w:val="left"/>
      </w:pPr>
      <w:r>
        <w:rPr>
          <w:sz w:val="24"/>
        </w:rPr>
        <w:t>（四）资金筹措。探索政府、村、企多方合作改造模式；重点研究资金平衡模式及实施路径。</w:t>
      </w:r>
    </w:p>
    <w:p>
      <w:pPr>
        <w:pStyle w:val="null3"/>
        <w:ind w:firstLine="420"/>
        <w:jc w:val="left"/>
      </w:pPr>
      <w:r>
        <w:rPr>
          <w:sz w:val="24"/>
        </w:rPr>
        <w:t>（五）时序安排。明确整治提升重点项目储备原则，提出近期实施项目建议。综合评估、初步谋划一批试点项目，在下一阶段开展试点项目实施方案编制工作。</w:t>
      </w:r>
    </w:p>
    <w:p>
      <w:pPr>
        <w:pStyle w:val="null3"/>
        <w:ind w:firstLine="420"/>
        <w:jc w:val="left"/>
      </w:pPr>
      <w:r>
        <w:rPr>
          <w:sz w:val="24"/>
        </w:rPr>
        <w:t>（六）实施保障。完善保障机制，提出配套政策建议。</w:t>
      </w:r>
    </w:p>
    <w:p>
      <w:pPr>
        <w:pStyle w:val="null3"/>
        <w:ind w:firstLine="422"/>
        <w:jc w:val="both"/>
      </w:pPr>
      <w:r>
        <w:rPr>
          <w:sz w:val="24"/>
          <w:b/>
        </w:rPr>
        <w:t>第二条：</w:t>
      </w:r>
      <w:r>
        <w:rPr>
          <w:sz w:val="24"/>
        </w:rPr>
        <w:t>乙方应按下列要求完成技术服务工作：</w:t>
      </w:r>
    </w:p>
    <w:p>
      <w:pPr>
        <w:pStyle w:val="null3"/>
        <w:ind w:firstLine="420"/>
        <w:jc w:val="both"/>
      </w:pPr>
      <w:r>
        <w:rPr>
          <w:sz w:val="24"/>
        </w:rPr>
        <w:t>1．技术服务地点：</w:t>
      </w:r>
      <w:r>
        <w:rPr>
          <w:sz w:val="24"/>
          <w:u w:val="single"/>
        </w:rPr>
        <w:t>广州市。</w:t>
      </w:r>
    </w:p>
    <w:p>
      <w:pPr>
        <w:pStyle w:val="null3"/>
        <w:ind w:firstLine="420"/>
        <w:jc w:val="both"/>
      </w:pPr>
      <w:r>
        <w:rPr>
          <w:sz w:val="24"/>
        </w:rPr>
        <w:t>2．技术服务工作期限：</w:t>
      </w:r>
      <w:r>
        <w:rPr>
          <w:sz w:val="24"/>
          <w:u w:val="single"/>
        </w:rPr>
        <w:t>本项目周期预期为120天内，自合同生效起至项目成果完成（若项目受不可控因素影响，则项目周期相应延长）。</w:t>
      </w:r>
    </w:p>
    <w:p>
      <w:pPr>
        <w:pStyle w:val="null3"/>
        <w:ind w:firstLine="420"/>
        <w:jc w:val="both"/>
      </w:pPr>
      <w:r>
        <w:rPr>
          <w:sz w:val="24"/>
        </w:rPr>
        <w:t>3．技术服务进度：</w:t>
      </w:r>
      <w:r>
        <w:rPr>
          <w:sz w:val="24"/>
          <w:u w:val="single"/>
        </w:rPr>
        <w:t>按采购需求及甲方要求。</w:t>
      </w:r>
    </w:p>
    <w:p>
      <w:pPr>
        <w:pStyle w:val="null3"/>
        <w:ind w:firstLine="420"/>
        <w:jc w:val="both"/>
      </w:pPr>
      <w:r>
        <w:rPr>
          <w:sz w:val="24"/>
        </w:rPr>
        <w:t>4．技术服务质量要求：</w:t>
      </w:r>
      <w:r>
        <w:rPr>
          <w:sz w:val="24"/>
          <w:u w:val="single"/>
        </w:rPr>
        <w:t>符合行业规范及地方通用标准；符合甲方要求。</w:t>
      </w:r>
    </w:p>
    <w:p>
      <w:pPr>
        <w:pStyle w:val="null3"/>
        <w:ind w:firstLine="420"/>
        <w:jc w:val="both"/>
      </w:pPr>
      <w:r>
        <w:rPr>
          <w:sz w:val="24"/>
        </w:rPr>
        <w:t>5．技术服务质量期限要求：</w:t>
      </w:r>
      <w:r>
        <w:rPr>
          <w:sz w:val="24"/>
          <w:u w:val="single"/>
        </w:rPr>
        <w:t>与合同及工作需要期限一致。</w:t>
      </w:r>
    </w:p>
    <w:p>
      <w:pPr>
        <w:pStyle w:val="null3"/>
        <w:ind w:firstLine="422"/>
        <w:jc w:val="both"/>
      </w:pPr>
      <w:r>
        <w:rPr>
          <w:sz w:val="24"/>
          <w:b/>
        </w:rPr>
        <w:t>第三条：</w:t>
      </w:r>
      <w:r>
        <w:rPr>
          <w:sz w:val="24"/>
        </w:rPr>
        <w:t>双方的权利和义务：</w:t>
      </w:r>
    </w:p>
    <w:p>
      <w:pPr>
        <w:pStyle w:val="null3"/>
        <w:ind w:firstLine="420"/>
        <w:jc w:val="both"/>
      </w:pPr>
      <w:r>
        <w:rPr>
          <w:sz w:val="24"/>
        </w:rPr>
        <w:t>（一）甲方的权利义务：</w:t>
      </w:r>
    </w:p>
    <w:p>
      <w:pPr>
        <w:pStyle w:val="null3"/>
        <w:ind w:firstLine="420"/>
        <w:jc w:val="both"/>
      </w:pPr>
      <w:r>
        <w:rPr>
          <w:sz w:val="24"/>
        </w:rPr>
        <w:t>1．甲方应及时向乙方提供相关文件资料，配合乙方开展工作。</w:t>
      </w:r>
    </w:p>
    <w:p>
      <w:pPr>
        <w:pStyle w:val="null3"/>
        <w:ind w:firstLine="420"/>
        <w:jc w:val="both"/>
      </w:pPr>
      <w:r>
        <w:rPr>
          <w:sz w:val="24"/>
        </w:rPr>
        <w:t>2．甲方应按合同约定，及时组织工作成果审查和支付合同款项。</w:t>
      </w:r>
    </w:p>
    <w:p>
      <w:pPr>
        <w:pStyle w:val="null3"/>
        <w:ind w:firstLine="420"/>
        <w:jc w:val="both"/>
      </w:pPr>
      <w:r>
        <w:rPr>
          <w:sz w:val="24"/>
        </w:rPr>
        <w:t>3．甲方可以检查乙方工作进展，并对乙方的工作成果提出修改意见。</w:t>
      </w:r>
    </w:p>
    <w:p>
      <w:pPr>
        <w:pStyle w:val="null3"/>
        <w:ind w:firstLine="420"/>
        <w:jc w:val="both"/>
      </w:pPr>
      <w:r>
        <w:rPr>
          <w:sz w:val="24"/>
        </w:rPr>
        <w:t>4．甲方有权在成果制定后公开展示项目成果，并通过传播、媒介、专业杂志、书刊或其它形式介绍、展示。</w:t>
      </w:r>
    </w:p>
    <w:p>
      <w:pPr>
        <w:pStyle w:val="null3"/>
        <w:ind w:firstLine="420"/>
        <w:jc w:val="both"/>
      </w:pPr>
      <w:r>
        <w:rPr>
          <w:sz w:val="24"/>
        </w:rPr>
        <w:t>（二）乙方的权利义务：</w:t>
      </w:r>
    </w:p>
    <w:p>
      <w:pPr>
        <w:pStyle w:val="null3"/>
        <w:ind w:firstLine="420"/>
        <w:jc w:val="both"/>
      </w:pPr>
      <w:r>
        <w:rPr>
          <w:sz w:val="24"/>
        </w:rPr>
        <w:t>1．乙方应按时按质完成合同约定的服务工作，提交服务成果。</w:t>
      </w:r>
    </w:p>
    <w:p>
      <w:pPr>
        <w:pStyle w:val="null3"/>
        <w:ind w:firstLine="420"/>
        <w:jc w:val="both"/>
      </w:pPr>
      <w:r>
        <w:rPr>
          <w:sz w:val="24"/>
        </w:rPr>
        <w:t>2．乙方应根据甲方的要求，对提交的工作成果及时修改完善。</w:t>
      </w:r>
    </w:p>
    <w:p>
      <w:pPr>
        <w:pStyle w:val="null3"/>
        <w:ind w:firstLine="420"/>
        <w:jc w:val="both"/>
      </w:pPr>
      <w:r>
        <w:rPr>
          <w:sz w:val="24"/>
        </w:rPr>
        <w:t>3．乙方根据工作需要可以要求甲方提供相关资料以及按约定支付合同款项。</w:t>
      </w:r>
    </w:p>
    <w:p>
      <w:pPr>
        <w:pStyle w:val="null3"/>
        <w:ind w:firstLine="420"/>
        <w:jc w:val="both"/>
      </w:pPr>
      <w:r>
        <w:rPr>
          <w:sz w:val="24"/>
        </w:rPr>
        <w:t>4．未经甲方同意，乙方不得将本项目工作全部或者部分转委托任何第三方。</w:t>
      </w:r>
    </w:p>
    <w:p>
      <w:pPr>
        <w:pStyle w:val="null3"/>
        <w:ind w:firstLine="422"/>
        <w:jc w:val="both"/>
      </w:pPr>
      <w:r>
        <w:rPr>
          <w:sz w:val="24"/>
          <w:b/>
        </w:rPr>
        <w:t>第四条：</w:t>
      </w:r>
      <w:r>
        <w:rPr>
          <w:sz w:val="24"/>
        </w:rPr>
        <w:t>甲方向乙方支付技术服务报酬及支付方式为：</w:t>
      </w:r>
    </w:p>
    <w:p>
      <w:pPr>
        <w:pStyle w:val="null3"/>
        <w:ind w:firstLine="420"/>
        <w:jc w:val="both"/>
      </w:pPr>
      <w:r>
        <w:rPr>
          <w:sz w:val="24"/>
        </w:rPr>
        <w:t>1．技术服务费总额为：</w:t>
      </w:r>
      <w:r>
        <w:rPr>
          <w:sz w:val="24"/>
          <w:u w:val="single"/>
        </w:rPr>
        <w:t>人民币           元整（￥</w:t>
      </w:r>
      <w:r>
        <w:rPr>
          <w:sz w:val="24"/>
          <w:u w:val="single"/>
        </w:rPr>
        <w:t xml:space="preserve">           </w:t>
      </w:r>
      <w:r>
        <w:rPr>
          <w:sz w:val="24"/>
          <w:u w:val="single"/>
        </w:rPr>
        <w:t>元）</w:t>
      </w:r>
      <w:r>
        <w:rPr>
          <w:sz w:val="24"/>
        </w:rPr>
        <w:t>。</w:t>
      </w:r>
    </w:p>
    <w:p>
      <w:pPr>
        <w:pStyle w:val="null3"/>
        <w:ind w:firstLine="420"/>
        <w:jc w:val="both"/>
      </w:pPr>
      <w:r>
        <w:rPr>
          <w:sz w:val="24"/>
        </w:rPr>
        <w:t>2．技术服务费由甲方</w:t>
      </w:r>
      <w:r>
        <w:rPr>
          <w:sz w:val="24"/>
          <w:u w:val="single"/>
        </w:rPr>
        <w:t>分四期</w:t>
      </w:r>
      <w:r>
        <w:rPr>
          <w:sz w:val="24"/>
        </w:rPr>
        <w:t>支付乙方。</w:t>
      </w:r>
    </w:p>
    <w:p>
      <w:pPr>
        <w:pStyle w:val="null3"/>
        <w:ind w:firstLine="420"/>
        <w:jc w:val="left"/>
      </w:pPr>
      <w:r>
        <w:rPr>
          <w:sz w:val="24"/>
        </w:rPr>
        <w:t>该费用包括但不限于乙方完成本项目服务所需的劳务费、交通费、打印费、税费等费用，甲方不再支付其他任何费用。</w:t>
      </w:r>
    </w:p>
    <w:p>
      <w:pPr>
        <w:pStyle w:val="null3"/>
        <w:ind w:firstLine="422"/>
        <w:jc w:val="both"/>
      </w:pPr>
      <w:r>
        <w:rPr>
          <w:sz w:val="24"/>
          <w:b/>
        </w:rPr>
        <w:t>具体支付方式和时间如下：</w:t>
      </w:r>
    </w:p>
    <w:p>
      <w:pPr>
        <w:pStyle w:val="null3"/>
        <w:ind w:firstLine="420"/>
        <w:jc w:val="both"/>
      </w:pPr>
      <w:r>
        <w:rPr>
          <w:sz w:val="24"/>
        </w:rPr>
        <w:t>（1）</w:t>
      </w:r>
      <w:r>
        <w:rPr>
          <w:sz w:val="24"/>
          <w:u w:val="single"/>
        </w:rPr>
        <w:t>合同签订生效后5个工作日内，甲方向乙方支付合同总金额30%作为预付款，计人民币</w:t>
      </w:r>
      <w:r>
        <w:rPr>
          <w:sz w:val="24"/>
          <w:u w:val="single"/>
        </w:rPr>
        <w:t xml:space="preserve">        </w:t>
      </w:r>
      <w:r>
        <w:rPr>
          <w:sz w:val="24"/>
          <w:u w:val="single"/>
        </w:rPr>
        <w:t>元（￥</w:t>
      </w:r>
      <w:r>
        <w:rPr>
          <w:sz w:val="24"/>
          <w:u w:val="single"/>
        </w:rPr>
        <w:t xml:space="preserve">        </w:t>
      </w:r>
      <w:r>
        <w:rPr>
          <w:sz w:val="24"/>
          <w:u w:val="single"/>
        </w:rPr>
        <w:t>元）。</w:t>
      </w:r>
    </w:p>
    <w:p>
      <w:pPr>
        <w:pStyle w:val="null3"/>
        <w:ind w:firstLine="420"/>
        <w:jc w:val="both"/>
      </w:pPr>
      <w:r>
        <w:rPr>
          <w:sz w:val="24"/>
        </w:rPr>
        <w:t>（2）</w:t>
      </w:r>
      <w:r>
        <w:rPr>
          <w:sz w:val="24"/>
          <w:u w:val="single"/>
        </w:rPr>
        <w:t>乙方按期提交中期成果后15日内，甲方向乙方支付合同总金额20%作为进度款，计人民币</w:t>
      </w:r>
      <w:r>
        <w:rPr>
          <w:sz w:val="24"/>
          <w:u w:val="single"/>
        </w:rPr>
        <w:t xml:space="preserve">        </w:t>
      </w:r>
      <w:r>
        <w:rPr>
          <w:sz w:val="24"/>
          <w:u w:val="single"/>
        </w:rPr>
        <w:t>元（￥</w:t>
      </w:r>
      <w:r>
        <w:rPr>
          <w:sz w:val="24"/>
          <w:u w:val="single"/>
        </w:rPr>
        <w:t xml:space="preserve">        </w:t>
      </w:r>
      <w:r>
        <w:rPr>
          <w:sz w:val="24"/>
          <w:u w:val="single"/>
        </w:rPr>
        <w:t>元）。</w:t>
      </w:r>
    </w:p>
    <w:p>
      <w:pPr>
        <w:pStyle w:val="null3"/>
        <w:ind w:firstLine="420"/>
        <w:jc w:val="both"/>
      </w:pPr>
      <w:r>
        <w:rPr>
          <w:sz w:val="24"/>
        </w:rPr>
        <w:t>（3）</w:t>
      </w:r>
      <w:r>
        <w:rPr>
          <w:sz w:val="24"/>
          <w:u w:val="single"/>
        </w:rPr>
        <w:t>乙方提交终期成果后15日内，甲方向乙方支付合同总金额30%作为进度款，计人民币</w:t>
      </w:r>
      <w:r>
        <w:rPr>
          <w:sz w:val="24"/>
          <w:u w:val="single"/>
        </w:rPr>
        <w:t xml:space="preserve">        </w:t>
      </w:r>
      <w:r>
        <w:rPr>
          <w:sz w:val="24"/>
          <w:u w:val="single"/>
        </w:rPr>
        <w:t>元（￥</w:t>
      </w:r>
      <w:r>
        <w:rPr>
          <w:sz w:val="24"/>
          <w:u w:val="single"/>
        </w:rPr>
        <w:t xml:space="preserve">        </w:t>
      </w:r>
      <w:r>
        <w:rPr>
          <w:sz w:val="24"/>
          <w:u w:val="single"/>
        </w:rPr>
        <w:t>元）。</w:t>
      </w:r>
    </w:p>
    <w:p>
      <w:pPr>
        <w:pStyle w:val="null3"/>
        <w:ind w:firstLine="420"/>
        <w:jc w:val="both"/>
      </w:pPr>
      <w:r>
        <w:rPr>
          <w:sz w:val="24"/>
        </w:rPr>
        <w:t>（4）</w:t>
      </w:r>
      <w:r>
        <w:rPr>
          <w:sz w:val="24"/>
          <w:u w:val="single"/>
        </w:rPr>
        <w:t>终期成果经甲方验收通过，结算经市财政局或甲方审核后视财政资金到位情况付清合同结算尾款。</w:t>
      </w:r>
    </w:p>
    <w:p>
      <w:pPr>
        <w:pStyle w:val="null3"/>
        <w:ind w:firstLine="420"/>
        <w:jc w:val="both"/>
      </w:pPr>
      <w:r>
        <w:rPr>
          <w:sz w:val="24"/>
        </w:rPr>
        <w:t>（5）</w:t>
      </w:r>
      <w:r>
        <w:rPr>
          <w:sz w:val="24"/>
          <w:u w:val="single"/>
        </w:rPr>
        <w:t>甲方按财政管理相关规定办理支付手续。</w:t>
      </w:r>
    </w:p>
    <w:p>
      <w:pPr>
        <w:pStyle w:val="null3"/>
        <w:ind w:firstLine="420"/>
        <w:jc w:val="both"/>
      </w:pPr>
      <w:r>
        <w:rPr>
          <w:sz w:val="24"/>
        </w:rPr>
        <w:t>（6）</w:t>
      </w:r>
      <w:r>
        <w:rPr>
          <w:sz w:val="24"/>
          <w:u w:val="single"/>
        </w:rPr>
        <w:t>乙方须根据工作完成进度提供以下相关文件材料申请支付：</w:t>
      </w:r>
    </w:p>
    <w:p>
      <w:pPr>
        <w:pStyle w:val="null3"/>
        <w:ind w:firstLine="420"/>
        <w:jc w:val="left"/>
      </w:pPr>
      <w:r>
        <w:rPr>
          <w:sz w:val="24"/>
          <w:u w:val="single"/>
        </w:rPr>
        <w:t>①合同；</w:t>
      </w:r>
    </w:p>
    <w:p>
      <w:pPr>
        <w:pStyle w:val="null3"/>
        <w:ind w:firstLine="420"/>
        <w:jc w:val="left"/>
      </w:pPr>
      <w:r>
        <w:rPr>
          <w:sz w:val="24"/>
          <w:u w:val="single"/>
        </w:rPr>
        <w:t>②乙方开具的合法等额的增值税普通发票；</w:t>
      </w:r>
    </w:p>
    <w:p>
      <w:pPr>
        <w:pStyle w:val="null3"/>
        <w:ind w:firstLine="420"/>
        <w:jc w:val="left"/>
      </w:pPr>
      <w:r>
        <w:rPr>
          <w:sz w:val="24"/>
          <w:u w:val="single"/>
        </w:rPr>
        <w:t>③中标通知书；</w:t>
      </w:r>
    </w:p>
    <w:p>
      <w:pPr>
        <w:pStyle w:val="null3"/>
        <w:ind w:firstLine="420"/>
        <w:jc w:val="left"/>
      </w:pPr>
      <w:r>
        <w:rPr>
          <w:sz w:val="24"/>
          <w:u w:val="single"/>
        </w:rPr>
        <w:t>④支付费用申请函；</w:t>
      </w:r>
    </w:p>
    <w:p>
      <w:pPr>
        <w:pStyle w:val="null3"/>
        <w:ind w:firstLine="420"/>
        <w:jc w:val="left"/>
      </w:pPr>
      <w:r>
        <w:rPr>
          <w:sz w:val="24"/>
          <w:u w:val="single"/>
        </w:rPr>
        <w:t>⑤成果报告。</w:t>
      </w:r>
    </w:p>
    <w:p>
      <w:pPr>
        <w:pStyle w:val="null3"/>
        <w:ind w:firstLine="420"/>
        <w:jc w:val="both"/>
      </w:pPr>
      <w:r>
        <w:rPr>
          <w:sz w:val="24"/>
        </w:rPr>
        <w:t>乙方开户银行名称、户名、地址和账号为：</w:t>
      </w:r>
    </w:p>
    <w:p>
      <w:pPr>
        <w:pStyle w:val="null3"/>
        <w:ind w:firstLine="420"/>
        <w:jc w:val="both"/>
      </w:pPr>
      <w:r>
        <w:rPr>
          <w:sz w:val="24"/>
        </w:rPr>
        <w:t>开户银行：</w:t>
      </w:r>
    </w:p>
    <w:p>
      <w:pPr>
        <w:pStyle w:val="null3"/>
        <w:ind w:firstLine="420"/>
        <w:jc w:val="both"/>
      </w:pPr>
      <w:r>
        <w:rPr>
          <w:sz w:val="24"/>
        </w:rPr>
        <w:t>户名：</w:t>
      </w:r>
    </w:p>
    <w:p>
      <w:pPr>
        <w:pStyle w:val="null3"/>
        <w:ind w:firstLine="420"/>
        <w:jc w:val="both"/>
      </w:pPr>
      <w:r>
        <w:rPr>
          <w:sz w:val="24"/>
        </w:rPr>
        <w:t>地址：</w:t>
      </w:r>
    </w:p>
    <w:p>
      <w:pPr>
        <w:pStyle w:val="null3"/>
        <w:ind w:firstLine="420"/>
        <w:jc w:val="both"/>
      </w:pPr>
      <w:r>
        <w:rPr>
          <w:sz w:val="24"/>
        </w:rPr>
        <w:t>账号：</w:t>
      </w:r>
    </w:p>
    <w:p>
      <w:pPr>
        <w:pStyle w:val="null3"/>
        <w:ind w:firstLine="420"/>
        <w:jc w:val="both"/>
      </w:pPr>
      <w:r>
        <w:rPr>
          <w:sz w:val="24"/>
        </w:rPr>
        <w:t>备注：甲方向乙方支付费用时，乙方需在付款前提供合法等额的增值税普通发票，否则甲方有权延迟付款。且本项目款项使用的是财政资金，前款规定的付款时间实际为甲方向政府采购支付部门提出办理财政支付申请手续的时间（不含政府财政支付部门审核的时间），在规定时间内提出支付申请手续后即视为甲方已经按期支付。因政府财政支付进度导致的逾期支付，不视为甲方违约。在中国境内、外发生的与本合同执行有关的一切税费均由乙方负担。</w:t>
      </w:r>
    </w:p>
    <w:p>
      <w:pPr>
        <w:pStyle w:val="null3"/>
        <w:ind w:firstLine="422"/>
        <w:jc w:val="both"/>
      </w:pPr>
      <w:r>
        <w:rPr>
          <w:sz w:val="24"/>
          <w:b/>
        </w:rPr>
        <w:t>第五条：</w:t>
      </w:r>
      <w:r>
        <w:rPr>
          <w:sz w:val="24"/>
        </w:rPr>
        <w:t>双方确定因履行本合同应遵守的保密义务如下：</w:t>
      </w:r>
    </w:p>
    <w:p>
      <w:pPr>
        <w:pStyle w:val="null3"/>
        <w:ind w:firstLine="420"/>
        <w:jc w:val="both"/>
      </w:pPr>
      <w:r>
        <w:rPr>
          <w:sz w:val="24"/>
        </w:rPr>
        <w:t>（1）本合同各方均应严格保护其相关方的工作秘密。</w:t>
      </w:r>
    </w:p>
    <w:p>
      <w:pPr>
        <w:pStyle w:val="null3"/>
        <w:ind w:firstLine="420"/>
        <w:jc w:val="both"/>
      </w:pPr>
      <w:r>
        <w:rPr>
          <w:sz w:val="24"/>
        </w:rPr>
        <w:t>（2）乙方在履行本协议过程中获悉的甲方全部材料和信息，包括口头、书面或其他载体显示的信息，均不得向任何第三方以任何方式泄露（甲方已经对外公开的材料和信息除外）。</w:t>
      </w:r>
    </w:p>
    <w:p>
      <w:pPr>
        <w:pStyle w:val="null3"/>
        <w:ind w:firstLine="420"/>
        <w:jc w:val="both"/>
      </w:pPr>
      <w:r>
        <w:rPr>
          <w:sz w:val="24"/>
        </w:rPr>
        <w:t>（3）因乙方违反保密义务造成甲方损失的，应承担相应赔偿责任。</w:t>
      </w:r>
    </w:p>
    <w:p>
      <w:pPr>
        <w:pStyle w:val="null3"/>
        <w:ind w:firstLine="420"/>
        <w:jc w:val="both"/>
      </w:pPr>
      <w:r>
        <w:rPr>
          <w:sz w:val="24"/>
        </w:rPr>
        <w:t>（4）各方的保密责任期为永久，不论本合同是否变更、解除或终止，本合同关于保密要求的条款将持续有效。</w:t>
      </w:r>
    </w:p>
    <w:p>
      <w:pPr>
        <w:pStyle w:val="null3"/>
        <w:ind w:firstLine="422"/>
        <w:jc w:val="both"/>
      </w:pPr>
      <w:r>
        <w:rPr>
          <w:sz w:val="24"/>
          <w:b/>
        </w:rPr>
        <w:t>第六条：</w:t>
      </w:r>
      <w:r>
        <w:rPr>
          <w:sz w:val="24"/>
        </w:rPr>
        <w:t>知识产权归属</w:t>
      </w:r>
    </w:p>
    <w:p>
      <w:pPr>
        <w:pStyle w:val="null3"/>
        <w:ind w:firstLine="420"/>
        <w:jc w:val="both"/>
      </w:pPr>
      <w:r>
        <w:rPr>
          <w:sz w:val="24"/>
        </w:rPr>
        <w:t>乙方履行本合同不得损害甲方及第三方依法享有的知识产权。因履行本合同产生的数据、资料、技术文档等成果的著作权、版权、专利权等知识产权均为甲方所有（署名权除外）。未经甲方书面同意，乙方不得擅自使用、复制、留存或者提供给任何第三方。乙方违反本条相关规定的，对甲方或第三方造成损失的，由乙方对此承担一切法律责任，包括但不限于承担损害赔偿费、诉讼费和其他费用。合同期满或终止，不影响知识产权条款的约定。</w:t>
      </w:r>
    </w:p>
    <w:p>
      <w:pPr>
        <w:pStyle w:val="null3"/>
        <w:ind w:firstLine="422"/>
        <w:jc w:val="both"/>
      </w:pPr>
      <w:r>
        <w:rPr>
          <w:sz w:val="24"/>
          <w:b/>
        </w:rPr>
        <w:t>第七条：</w:t>
      </w:r>
      <w:r>
        <w:rPr>
          <w:sz w:val="24"/>
        </w:rPr>
        <w:t>双方确定以下列标准和方式对乙方的技术服务工作成果进行验收：</w:t>
      </w:r>
    </w:p>
    <w:p>
      <w:pPr>
        <w:pStyle w:val="null3"/>
        <w:ind w:firstLine="420"/>
        <w:jc w:val="both"/>
      </w:pPr>
      <w:r>
        <w:rPr>
          <w:sz w:val="24"/>
        </w:rPr>
        <w:t>1．乙方完成技术服务工作的形式：</w:t>
      </w:r>
      <w:r>
        <w:rPr>
          <w:sz w:val="24"/>
          <w:u w:val="single"/>
        </w:rPr>
        <w:t>依据甲方要求提交工作成果，成果文件应当以纸质文件（打印装订文件）和电子文件（电子光盘）两种方式表达。纸质文件要求做到，准确、完整地阐述工作内容。</w:t>
      </w:r>
    </w:p>
    <w:p>
      <w:pPr>
        <w:pStyle w:val="null3"/>
        <w:ind w:firstLine="420"/>
        <w:jc w:val="both"/>
      </w:pPr>
      <w:r>
        <w:rPr>
          <w:sz w:val="24"/>
        </w:rPr>
        <w:t>2．技术服务工作成果的验收标准：</w:t>
      </w:r>
      <w:r>
        <w:rPr>
          <w:sz w:val="24"/>
          <w:u w:val="single"/>
        </w:rPr>
        <w:t>依据采购需求，并符合甲方最终成果的档案归档和上报审批要求。</w:t>
      </w:r>
    </w:p>
    <w:p>
      <w:pPr>
        <w:pStyle w:val="null3"/>
        <w:ind w:firstLine="420"/>
        <w:jc w:val="both"/>
      </w:pPr>
      <w:r>
        <w:rPr>
          <w:sz w:val="24"/>
        </w:rPr>
        <w:t>3．技术服务工作成果的验收方法：</w:t>
      </w:r>
      <w:r>
        <w:rPr>
          <w:sz w:val="24"/>
          <w:u w:val="single"/>
        </w:rPr>
        <w:t>通过甲方的审查后，由甲方出具同意结题函并归档。</w:t>
      </w:r>
    </w:p>
    <w:p>
      <w:pPr>
        <w:pStyle w:val="null3"/>
        <w:ind w:firstLine="420"/>
        <w:jc w:val="both"/>
      </w:pPr>
      <w:r>
        <w:rPr>
          <w:sz w:val="24"/>
        </w:rPr>
        <w:t>4．验收的时间和地点：</w:t>
      </w:r>
      <w:r>
        <w:rPr>
          <w:sz w:val="24"/>
          <w:u w:val="single"/>
        </w:rPr>
        <w:t>（视项目具体完成时间定）广州。</w:t>
      </w:r>
    </w:p>
    <w:p>
      <w:pPr>
        <w:pStyle w:val="null3"/>
        <w:ind w:firstLine="422"/>
        <w:jc w:val="both"/>
      </w:pPr>
      <w:r>
        <w:rPr>
          <w:sz w:val="24"/>
          <w:b/>
        </w:rPr>
        <w:t>第八条：</w:t>
      </w:r>
      <w:r>
        <w:rPr>
          <w:sz w:val="24"/>
        </w:rPr>
        <w:t>双方确定，按以下约定承担各自的违约责任：</w:t>
      </w:r>
    </w:p>
    <w:p>
      <w:pPr>
        <w:pStyle w:val="null3"/>
        <w:ind w:firstLine="420"/>
        <w:jc w:val="both"/>
      </w:pPr>
      <w:r>
        <w:rPr>
          <w:sz w:val="24"/>
        </w:rPr>
        <w:t>1．</w:t>
      </w:r>
      <w:r>
        <w:rPr>
          <w:sz w:val="24"/>
          <w:u w:val="single"/>
        </w:rPr>
        <w:t>因乙方原因，未能在合同约定时间内向甲方交付项目成果，每逾期一天，乙方向甲方支付合同总金额1‰</w:t>
      </w:r>
      <w:r>
        <w:rPr>
          <w:sz w:val="24"/>
          <w:u w:val="single"/>
        </w:rPr>
        <w:t>的违约金，甲方有权先行在合同应付款项内予以扣除违约金。乙方逾期超过</w:t>
      </w:r>
      <w:r>
        <w:rPr>
          <w:sz w:val="24"/>
          <w:u w:val="single"/>
        </w:rPr>
        <w:t>30</w:t>
      </w:r>
      <w:r>
        <w:rPr>
          <w:sz w:val="24"/>
          <w:u w:val="single"/>
        </w:rPr>
        <w:t>天的，甲方有权解除本合同，乙方应在收到甲方的合同解除通知后</w:t>
      </w:r>
      <w:r>
        <w:rPr>
          <w:sz w:val="24"/>
          <w:u w:val="single"/>
        </w:rPr>
        <w:t>5天内返还已收取的全部款项，并向甲方支付相当于合同总金额的10%的违约金。</w:t>
      </w:r>
    </w:p>
    <w:p>
      <w:pPr>
        <w:pStyle w:val="null3"/>
        <w:ind w:firstLine="420"/>
        <w:jc w:val="both"/>
      </w:pPr>
      <w:r>
        <w:rPr>
          <w:sz w:val="24"/>
        </w:rPr>
        <w:t>2．</w:t>
      </w:r>
      <w:r>
        <w:rPr>
          <w:sz w:val="24"/>
          <w:u w:val="single"/>
        </w:rPr>
        <w:t>乙方提供的服务不符合招标文件或本合同约定、服务成果不能取得甲方审议通过的，乙方应在甲方指定的期限内完成修改；修改后仍不能达到约定验收标准的，甲方有权拒绝乙方服务，并视为乙方不能交付工作成果，可单方解除合同。乙方应在收到甲方的合同解除通知后5天内返还已收取的全部款项，并向甲方支付相当于合同总金额的10%的违约金。</w:t>
      </w:r>
    </w:p>
    <w:p>
      <w:pPr>
        <w:pStyle w:val="null3"/>
        <w:ind w:firstLine="420"/>
        <w:jc w:val="both"/>
      </w:pPr>
      <w:r>
        <w:rPr>
          <w:sz w:val="24"/>
        </w:rPr>
        <w:t>3．</w:t>
      </w:r>
      <w:r>
        <w:rPr>
          <w:sz w:val="24"/>
          <w:u w:val="single"/>
        </w:rPr>
        <w:t>因甲方原因未能按照合同约定办理申请支付手续，每逾期一天，按合同总金额的1‰向乙方支付违约金，违约金最多不超过合同总金额的5%。</w:t>
      </w:r>
    </w:p>
    <w:p>
      <w:pPr>
        <w:pStyle w:val="null3"/>
        <w:ind w:firstLine="420"/>
        <w:jc w:val="both"/>
      </w:pPr>
      <w:r>
        <w:rPr>
          <w:sz w:val="24"/>
        </w:rPr>
        <w:t>4．</w:t>
      </w:r>
      <w:r>
        <w:rPr>
          <w:sz w:val="24"/>
          <w:u w:val="single"/>
        </w:rPr>
        <w:t>甲方无正当理由未能按本合同约定接受服务成果，乙方有权要求甲方按已完成工作量支付合同约定款项。</w:t>
      </w:r>
    </w:p>
    <w:p>
      <w:pPr>
        <w:pStyle w:val="null3"/>
        <w:ind w:firstLine="420"/>
        <w:jc w:val="both"/>
      </w:pPr>
      <w:r>
        <w:rPr>
          <w:sz w:val="24"/>
        </w:rPr>
        <w:t>5．</w:t>
      </w:r>
      <w:r>
        <w:rPr>
          <w:sz w:val="24"/>
          <w:u w:val="single"/>
        </w:rPr>
        <w:t>任何一方未履行或违反本合同约定的条款，违约方应向守约方承担违约责任。</w:t>
      </w:r>
    </w:p>
    <w:p>
      <w:pPr>
        <w:pStyle w:val="null3"/>
        <w:ind w:firstLine="422"/>
        <w:jc w:val="both"/>
      </w:pPr>
      <w:r>
        <w:rPr>
          <w:sz w:val="24"/>
          <w:b/>
        </w:rPr>
        <w:t>第九条：</w:t>
      </w:r>
      <w:r>
        <w:rPr>
          <w:sz w:val="24"/>
        </w:rPr>
        <w:t>双方确定，在本合同有效期内，甲方指定</w:t>
      </w:r>
      <w:r>
        <w:rPr>
          <w:sz w:val="24"/>
          <w:u w:val="single"/>
        </w:rPr>
        <w:t xml:space="preserve">     </w:t>
      </w:r>
      <w:r>
        <w:rPr>
          <w:sz w:val="24"/>
        </w:rPr>
        <w:t>为甲方项目联系人，乙方指定</w:t>
      </w:r>
      <w:r>
        <w:rPr>
          <w:sz w:val="24"/>
          <w:u w:val="single"/>
        </w:rPr>
        <w:t xml:space="preserve">     </w:t>
      </w:r>
      <w:r>
        <w:rPr>
          <w:sz w:val="24"/>
        </w:rPr>
        <w:t>为乙方项目联系人。项目联系人承担以下责任：</w:t>
      </w:r>
    </w:p>
    <w:p>
      <w:pPr>
        <w:pStyle w:val="null3"/>
        <w:ind w:firstLine="420"/>
        <w:jc w:val="both"/>
      </w:pPr>
      <w:r>
        <w:rPr>
          <w:sz w:val="24"/>
        </w:rPr>
        <w:t>1．</w:t>
      </w:r>
      <w:r>
        <w:rPr>
          <w:sz w:val="24"/>
          <w:u w:val="single"/>
        </w:rPr>
        <w:t>甲方项目联系人负责经费拨付的联络、协调；配合乙方工作，进行本次工作的协调跟进，确认并接收工作成果；尽快、及时组织工作成果的审查验收；</w:t>
      </w:r>
    </w:p>
    <w:p>
      <w:pPr>
        <w:pStyle w:val="null3"/>
        <w:ind w:firstLine="420"/>
        <w:jc w:val="both"/>
      </w:pPr>
      <w:r>
        <w:rPr>
          <w:sz w:val="24"/>
        </w:rPr>
        <w:t>2．</w:t>
      </w:r>
      <w:r>
        <w:rPr>
          <w:sz w:val="24"/>
          <w:u w:val="single"/>
        </w:rPr>
        <w:t>乙方项目联系人定期向甲方报告工作进度及完成情况，按约定期限提交工作成果。</w:t>
      </w:r>
    </w:p>
    <w:p>
      <w:pPr>
        <w:pStyle w:val="null3"/>
        <w:ind w:firstLine="420"/>
        <w:jc w:val="both"/>
      </w:pPr>
      <w:r>
        <w:rPr>
          <w:sz w:val="24"/>
        </w:rPr>
        <w:t>一方变更项目联系人的，应当及时以书面形式通知另一方，如未及时告知导致另一方按照本合同约定履行了相关义务的，即视为另一方已按照合同约定履行了相关义务，无需承担任何法律责任。</w:t>
      </w:r>
    </w:p>
    <w:p>
      <w:pPr>
        <w:pStyle w:val="null3"/>
        <w:ind w:firstLine="422"/>
        <w:jc w:val="both"/>
      </w:pPr>
      <w:r>
        <w:rPr>
          <w:sz w:val="24"/>
          <w:b/>
        </w:rPr>
        <w:t>第十条：</w:t>
      </w:r>
      <w:r>
        <w:rPr>
          <w:sz w:val="24"/>
        </w:rPr>
        <w:t>不可抗力处理</w:t>
      </w:r>
    </w:p>
    <w:p>
      <w:pPr>
        <w:pStyle w:val="null3"/>
        <w:ind w:firstLine="420"/>
        <w:jc w:val="both"/>
      </w:pPr>
      <w:r>
        <w:rPr>
          <w:sz w:val="24"/>
        </w:rPr>
        <w:t>任何一方因由不可抗力致使全部或部分不能履行本合同或延迟履行本合同，应自不可抗力事件发生之日起五日内，将事件情况以书面形式通知另一方，以减轻可能给对方造成的损失。</w:t>
      </w:r>
    </w:p>
    <w:p>
      <w:pPr>
        <w:pStyle w:val="null3"/>
        <w:ind w:firstLine="422"/>
        <w:jc w:val="both"/>
      </w:pPr>
      <w:r>
        <w:rPr>
          <w:sz w:val="24"/>
          <w:b/>
        </w:rPr>
        <w:t>第十一条：</w:t>
      </w:r>
      <w:r>
        <w:rPr>
          <w:sz w:val="24"/>
        </w:rPr>
        <w:t>双方因履行本合同而发生的争议，应协商、调解解决。协商、调解不成的，确定按以下第</w:t>
      </w:r>
      <w:r>
        <w:rPr>
          <w:sz w:val="24"/>
          <w:u w:val="single"/>
        </w:rPr>
        <w:t xml:space="preserve">   2   </w:t>
      </w:r>
      <w:r>
        <w:rPr>
          <w:sz w:val="24"/>
        </w:rPr>
        <w:t>种方式处理，因诉讼产生的合理费用包括但不限于诉讼费、律师费、公告费、公证费、差旅费等，由败诉方承担：</w:t>
      </w:r>
    </w:p>
    <w:p>
      <w:pPr>
        <w:pStyle w:val="null3"/>
        <w:ind w:firstLine="420"/>
        <w:jc w:val="both"/>
      </w:pPr>
      <w:r>
        <w:rPr>
          <w:sz w:val="24"/>
        </w:rPr>
        <w:t>1．提交</w:t>
      </w:r>
      <w:r>
        <w:rPr>
          <w:sz w:val="24"/>
          <w:u w:val="single"/>
        </w:rPr>
        <w:t>中国广州</w:t>
      </w:r>
      <w:r>
        <w:rPr>
          <w:sz w:val="24"/>
        </w:rPr>
        <w:t>仲裁委员会仲裁；</w:t>
      </w:r>
    </w:p>
    <w:p>
      <w:pPr>
        <w:pStyle w:val="null3"/>
        <w:ind w:firstLine="420"/>
        <w:jc w:val="both"/>
      </w:pPr>
      <w:r>
        <w:rPr>
          <w:sz w:val="24"/>
        </w:rPr>
        <w:t>2．依法向甲方所在地有管辖权的人民法院起诉。</w:t>
      </w:r>
    </w:p>
    <w:p>
      <w:pPr>
        <w:pStyle w:val="null3"/>
        <w:ind w:firstLine="422"/>
        <w:jc w:val="both"/>
      </w:pPr>
      <w:r>
        <w:rPr>
          <w:sz w:val="24"/>
          <w:b/>
        </w:rPr>
        <w:t>第十二条：</w:t>
      </w:r>
      <w:r>
        <w:rPr>
          <w:sz w:val="24"/>
        </w:rPr>
        <w:t>双方确定：本合同及相关附件中所涉及的有关名词和技术术语，其定义和解释如下：</w:t>
      </w:r>
    </w:p>
    <w:p>
      <w:pPr>
        <w:pStyle w:val="null3"/>
        <w:ind w:firstLine="420"/>
        <w:jc w:val="both"/>
      </w:pPr>
      <w:r>
        <w:rPr>
          <w:sz w:val="24"/>
        </w:rPr>
        <w:t>1．</w:t>
      </w:r>
      <w:r>
        <w:rPr>
          <w:sz w:val="24"/>
          <w:u w:val="single"/>
        </w:rPr>
        <w:t xml:space="preserve">          /       。</w:t>
      </w:r>
    </w:p>
    <w:p>
      <w:pPr>
        <w:pStyle w:val="null3"/>
        <w:ind w:firstLine="422"/>
        <w:jc w:val="both"/>
      </w:pPr>
      <w:r>
        <w:rPr>
          <w:sz w:val="24"/>
          <w:b/>
        </w:rPr>
        <w:t>第十三条：</w:t>
      </w:r>
      <w:r>
        <w:rPr>
          <w:sz w:val="24"/>
        </w:rPr>
        <w:t>双方约定本合同其他相关事项为：</w:t>
      </w:r>
    </w:p>
    <w:p>
      <w:pPr>
        <w:pStyle w:val="null3"/>
        <w:ind w:firstLine="420"/>
        <w:jc w:val="both"/>
      </w:pPr>
      <w:r>
        <w:rPr>
          <w:sz w:val="24"/>
        </w:rPr>
        <w:t>1</w:t>
      </w:r>
      <w:r>
        <w:rPr>
          <w:sz w:val="24"/>
        </w:rPr>
        <w:t>．</w:t>
      </w:r>
      <w:r>
        <w:rPr>
          <w:sz w:val="24"/>
          <w:u w:val="single"/>
        </w:rPr>
        <w:t>项目成果批准实施前，不得以任何形式向社会公开展示项目成果。</w:t>
      </w:r>
    </w:p>
    <w:p>
      <w:pPr>
        <w:pStyle w:val="null3"/>
        <w:ind w:firstLine="420"/>
        <w:jc w:val="both"/>
      </w:pPr>
      <w:r>
        <w:rPr>
          <w:sz w:val="24"/>
        </w:rPr>
        <w:t>2</w:t>
      </w:r>
      <w:r>
        <w:rPr>
          <w:sz w:val="24"/>
        </w:rPr>
        <w:t>．</w:t>
      </w:r>
      <w:r>
        <w:rPr>
          <w:sz w:val="24"/>
          <w:u w:val="single"/>
        </w:rPr>
        <w:t>经双方协商一致，可对本合同条款进行修订更改或补充，以书面合同为准。</w:t>
      </w:r>
    </w:p>
    <w:p>
      <w:pPr>
        <w:pStyle w:val="null3"/>
        <w:ind w:firstLine="420"/>
        <w:jc w:val="both"/>
      </w:pPr>
      <w:r>
        <w:rPr>
          <w:sz w:val="24"/>
        </w:rPr>
        <w:t>3</w:t>
      </w:r>
      <w:r>
        <w:rPr>
          <w:sz w:val="24"/>
        </w:rPr>
        <w:t>．</w:t>
      </w:r>
      <w:r>
        <w:rPr>
          <w:sz w:val="24"/>
          <w:u w:val="single"/>
        </w:rPr>
        <w:t>本项目中标通知书、招标文件、投标文件及附件均是本合同不可分割的部分，解释的顺序除特别说明外，以文件生成时间在后的为准。</w:t>
      </w:r>
    </w:p>
    <w:p>
      <w:pPr>
        <w:pStyle w:val="null3"/>
        <w:ind w:firstLine="422"/>
        <w:jc w:val="both"/>
      </w:pPr>
      <w:r>
        <w:rPr>
          <w:sz w:val="24"/>
          <w:b/>
        </w:rPr>
        <w:t>第十四条：</w:t>
      </w:r>
      <w:r>
        <w:rPr>
          <w:sz w:val="24"/>
        </w:rPr>
        <w:t>本合同一式</w:t>
      </w:r>
      <w:r>
        <w:rPr>
          <w:sz w:val="24"/>
          <w:u w:val="single"/>
        </w:rPr>
        <w:t>捌</w:t>
      </w:r>
      <w:r>
        <w:rPr>
          <w:sz w:val="24"/>
        </w:rPr>
        <w:t>份，具有同等法律效力，甲方执</w:t>
      </w:r>
      <w:r>
        <w:rPr>
          <w:sz w:val="24"/>
          <w:u w:val="single"/>
        </w:rPr>
        <w:t>伍</w:t>
      </w:r>
      <w:r>
        <w:rPr>
          <w:sz w:val="24"/>
        </w:rPr>
        <w:t>份，乙方执</w:t>
      </w:r>
      <w:r>
        <w:rPr>
          <w:sz w:val="24"/>
          <w:u w:val="single"/>
        </w:rPr>
        <w:t>叁</w:t>
      </w:r>
      <w:r>
        <w:rPr>
          <w:sz w:val="24"/>
        </w:rPr>
        <w:t>份。</w:t>
      </w:r>
    </w:p>
    <w:p>
      <w:pPr>
        <w:pStyle w:val="null3"/>
        <w:ind w:firstLine="422"/>
        <w:jc w:val="both"/>
      </w:pPr>
      <w:r>
        <w:rPr>
          <w:sz w:val="24"/>
          <w:b/>
        </w:rPr>
        <w:t>第十五条：</w:t>
      </w:r>
      <w:r>
        <w:rPr>
          <w:sz w:val="24"/>
        </w:rPr>
        <w:t>本合同经双方法定代表人或委托代理人签字并加盖公章后生效。</w:t>
      </w:r>
    </w:p>
    <w:p>
      <w:pPr>
        <w:pStyle w:val="null3"/>
        <w:ind w:firstLine="420"/>
        <w:jc w:val="both"/>
      </w:pPr>
      <w:r>
        <w:rPr>
          <w:sz w:val="24"/>
        </w:rPr>
        <w:t>（以下无正文）</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jc w:val="both"/>
      </w:pPr>
      <w:r>
        <w:rPr>
          <w:sz w:val="24"/>
        </w:rPr>
        <w:t>（签署页，无正文）</w:t>
      </w:r>
    </w:p>
    <w:p>
      <w:pPr>
        <w:pStyle w:val="null3"/>
        <w:jc w:val="both"/>
      </w:pPr>
      <w:r>
        <w:rPr/>
        <w:t xml:space="preserve"> </w:t>
      </w:r>
    </w:p>
    <w:p>
      <w:pPr>
        <w:pStyle w:val="null3"/>
        <w:jc w:val="both"/>
      </w:pPr>
      <w:r>
        <w:rPr>
          <w:sz w:val="24"/>
        </w:rPr>
        <w:t>甲方：（盖章）</w:t>
      </w:r>
    </w:p>
    <w:p>
      <w:pPr>
        <w:pStyle w:val="null3"/>
        <w:ind w:firstLine="211"/>
        <w:jc w:val="both"/>
      </w:pPr>
      <w:r>
        <w:rPr>
          <w:sz w:val="24"/>
        </w:rPr>
        <w:t>法定代表人/委托代理人：（签名）　</w:t>
      </w:r>
    </w:p>
    <w:p>
      <w:pPr>
        <w:pStyle w:val="null3"/>
        <w:ind w:firstLine="354"/>
        <w:jc w:val="both"/>
      </w:pPr>
      <w:r>
        <w:rPr>
          <w:sz w:val="24"/>
        </w:rPr>
        <w:t xml:space="preserve">        年    月    日</w:t>
      </w:r>
    </w:p>
    <w:p>
      <w:pPr>
        <w:pStyle w:val="null3"/>
        <w:ind w:firstLine="354"/>
        <w:jc w:val="both"/>
      </w:pPr>
      <w:r>
        <w:rPr/>
        <w:t xml:space="preserve"> </w:t>
      </w:r>
    </w:p>
    <w:p>
      <w:pPr>
        <w:pStyle w:val="null3"/>
        <w:jc w:val="both"/>
      </w:pPr>
      <w:r>
        <w:rPr>
          <w:sz w:val="24"/>
        </w:rPr>
        <w:t>乙方：（盖章）</w:t>
      </w:r>
    </w:p>
    <w:p>
      <w:pPr>
        <w:pStyle w:val="null3"/>
        <w:jc w:val="both"/>
      </w:pPr>
      <w:r>
        <w:rPr>
          <w:sz w:val="24"/>
        </w:rPr>
        <w:t>法定代表人/委托代理人：（签名）</w:t>
      </w:r>
    </w:p>
    <w:p>
      <w:pPr>
        <w:pStyle w:val="null3"/>
        <w:ind w:firstLine="354"/>
        <w:jc w:val="both"/>
      </w:pPr>
      <w:r>
        <w:rPr>
          <w:sz w:val="24"/>
        </w:rPr>
        <w:t xml:space="preserve">        年    月    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440101-2024-16908</w:t>
      </w:r>
    </w:p>
    <w:p>
      <w:pPr>
        <w:pStyle w:val="null3"/>
        <w:jc w:val="center"/>
        <w:outlineLvl w:val="3"/>
      </w:pPr>
      <w:r>
        <w:rPr>
          <w:sz w:val="24"/>
          <w:b/>
        </w:rPr>
        <w:t>采购项目编号：</w:t>
      </w:r>
      <w:r>
        <w:rPr>
          <w:sz w:val="24"/>
          <w:b/>
        </w:rPr>
        <w:t>GZCQC2400FG04019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城维计划-广州市城中村整治提升实施纲要及试点</w:t>
      </w:r>
      <w:r>
        <w:rPr>
          <w:u w:val="single"/>
        </w:rPr>
        <w:t>”</w:t>
      </w:r>
      <w:r>
        <w:rPr/>
        <w:t>项目的招标[采购项目编号为：</w:t>
      </w:r>
      <w:r>
        <w:rPr>
          <w:u w:val="single"/>
        </w:rPr>
        <w:t>GZCQC2400FG04019</w:t>
      </w:r>
      <w:r>
        <w:rPr/>
        <w:t>]，我方愿参与投标。</w:t>
      </w:r>
    </w:p>
    <w:p>
      <w:pPr>
        <w:pStyle w:val="null3"/>
        <w:ind w:firstLine="480"/>
      </w:pPr>
      <w:r>
        <w:rPr/>
        <w:t>我方确认收到贵方提供的</w:t>
      </w:r>
      <w:r>
        <w:rPr>
          <w:u w:val="single"/>
        </w:rPr>
        <w:t>“</w:t>
      </w:r>
      <w:r>
        <w:rPr>
          <w:u w:val="single"/>
        </w:rPr>
        <w:t>城维计划-广州市城中村整治提升实施纲要及试点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城维计划-广州市城中村整治提升实施纲要及试点</w:t>
      </w:r>
      <w:r>
        <w:rPr/>
        <w:t>”项目采购[采购项目编号为</w:t>
      </w:r>
      <w:r>
        <w:rPr/>
        <w:t>GZCQC2400FG04019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广州市住房和城乡建设局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城维计划-广州市城中村整治提升实施纲要及试点</w:t>
      </w:r>
      <w:r>
        <w:rPr/>
        <w:t>招标中获中标（采购项目编号：</w:t>
      </w:r>
      <w:r>
        <w:rPr/>
        <w:t>GZCQC2400FG04019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