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440101-2024-16626</w:t>
      </w:r>
    </w:p>
    <w:p>
      <w:pPr>
        <w:pStyle w:val="null3"/>
        <w:jc w:val="center"/>
        <w:outlineLvl w:val="3"/>
      </w:pPr>
      <w:r>
        <w:rPr>
          <w:sz w:val="24"/>
          <w:b/>
        </w:rPr>
        <w:t>采购项目编号：</w:t>
      </w:r>
      <w:r>
        <w:rPr>
          <w:sz w:val="24"/>
          <w:b/>
        </w:rPr>
        <w:t>GZCQC2400FG07018</w:t>
      </w:r>
    </w:p>
    <w:p>
      <w:pPr>
        <w:pStyle w:val="null3"/>
        <w:jc w:val="center"/>
        <w:outlineLvl w:val="3"/>
      </w:pPr>
      <w:r>
        <w:rPr>
          <w:sz w:val="24"/>
          <w:b/>
        </w:rPr>
        <w:t>项目名称：</w:t>
      </w:r>
      <w:r>
        <w:rPr>
          <w:sz w:val="24"/>
          <w:b/>
        </w:rPr>
        <w:t>广州市氢能基础设施建设项目推介清单</w:t>
      </w:r>
    </w:p>
    <w:p>
      <w:pPr>
        <w:pStyle w:val="null3"/>
        <w:jc w:val="center"/>
        <w:outlineLvl w:val="3"/>
      </w:pPr>
      <w:r>
        <w:rPr>
          <w:sz w:val="24"/>
          <w:b/>
        </w:rPr>
        <w:t>采购人：</w:t>
      </w:r>
      <w:r>
        <w:rPr>
          <w:sz w:val="24"/>
          <w:b/>
        </w:rPr>
        <w:t>广州市发展和改革委员会</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广州市发展和改革委员会</w:t>
      </w:r>
      <w:r>
        <w:rPr/>
        <w:t>的委托，采用</w:t>
      </w:r>
      <w:r>
        <w:rPr/>
        <w:t>公开招标</w:t>
      </w:r>
      <w:r>
        <w:rPr/>
        <w:t>方式组织采购</w:t>
      </w:r>
      <w:r>
        <w:rPr/>
        <w:t>广州市氢能基础设施建设项目推介清单</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广州市氢能基础设施建设项目推介清单</w:t>
      </w:r>
    </w:p>
    <w:p>
      <w:pPr>
        <w:pStyle w:val="null3"/>
        <w:ind w:firstLine="480"/>
      </w:pPr>
      <w:r>
        <w:rPr/>
        <w:t>采购计划编号：</w:t>
      </w:r>
      <w:r>
        <w:rPr/>
        <w:t>440101-2024-16626</w:t>
      </w:r>
    </w:p>
    <w:p>
      <w:pPr>
        <w:pStyle w:val="null3"/>
        <w:ind w:firstLine="480"/>
      </w:pPr>
      <w:r>
        <w:rPr/>
        <w:t>采购项目编号：</w:t>
      </w:r>
      <w:r>
        <w:rPr/>
        <w:t>GZCQC2400FG07018</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采购包1(广州市氢能基础设施建设项目推介清单):</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广州市氢能基础设施建设项目推介清单</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合同履行期限：自合同签订之日起至2024年11月20日。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采购包1（广州市氢能基础设施建设项目推介清单）：</w:t>
      </w:r>
      <w:r>
        <w:rPr/>
        <w:t>本采购包整体专门面向中小企业采购。投标人须符合本项目采购标的对应行业（本项目行业为：其他未列明行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采购包1（广州市氢能基础设施建设项目推介清单）：</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5)投标人必须具有城乡规划编制乙级资质。（提供证书复印件。如相关主管部门有最新政策，按最新政策执行）</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广州市发展和改革委员会</w:t>
      </w:r>
    </w:p>
    <w:p>
      <w:pPr>
        <w:pStyle w:val="null3"/>
        <w:ind w:firstLine="480"/>
      </w:pPr>
      <w:r>
        <w:rPr/>
        <w:t xml:space="preserve"> 地址：</w:t>
      </w:r>
      <w:r>
        <w:rPr/>
        <w:t>广州市越秀区府前路1号</w:t>
      </w:r>
    </w:p>
    <w:p>
      <w:pPr>
        <w:pStyle w:val="null3"/>
        <w:ind w:firstLine="480"/>
      </w:pPr>
      <w:r>
        <w:rPr/>
        <w:t xml:space="preserve"> 联系方式：</w:t>
      </w:r>
      <w:r>
        <w:rPr/>
        <w:t>020-83123699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（一）项目名称：</w:t>
      </w:r>
      <w:r>
        <w:rPr>
          <w:sz w:val="24"/>
        </w:rPr>
        <w:t>广州市氢能基础设施建设项目推介清单。</w:t>
      </w:r>
    </w:p>
    <w:p>
      <w:pPr>
        <w:pStyle w:val="null3"/>
        <w:ind w:firstLine="482"/>
        <w:jc w:val="both"/>
      </w:pPr>
      <w:r>
        <w:rPr>
          <w:sz w:val="24"/>
          <w:b/>
        </w:rPr>
        <w:t>（二）资金来源：</w:t>
      </w:r>
      <w:r>
        <w:rPr>
          <w:sz w:val="24"/>
        </w:rPr>
        <w:t>财政资金。</w:t>
      </w:r>
    </w:p>
    <w:p>
      <w:pPr>
        <w:pStyle w:val="null3"/>
        <w:ind w:firstLine="482"/>
        <w:jc w:val="both"/>
      </w:pPr>
      <w:r>
        <w:rPr>
          <w:sz w:val="24"/>
          <w:b/>
        </w:rPr>
        <w:t>（三）项目采购预算（最高限价）：</w:t>
      </w:r>
      <w:r>
        <w:rPr>
          <w:sz w:val="24"/>
        </w:rPr>
        <w:t>人民币2,700,000.00元，凡超出最高限价的，一律视为无效投标。</w:t>
      </w:r>
    </w:p>
    <w:p>
      <w:pPr>
        <w:pStyle w:val="null3"/>
      </w:pPr>
      <w:r>
        <w:rPr/>
        <w:t>采购包1（广州市氢能基础设施建设项目推介清单）</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自合同签订之日起至2024年11月20日。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1期：支付比例80%,双方签订项目合同书后10个工作日内，采购人向中标人支付项目中标金额的80%作为本项目的预付款。</w:t>
            </w:r>
          </w:p>
          <w:p>
            <w:pPr>
              <w:pStyle w:val="null3"/>
            </w:pPr>
            <w:r>
              <w:rPr/>
              <w:t>2期：支付比例20%,中标人完成终期成果并通过专家评审之日起10个工作日内，采购人向中标人支付项目中标金额的20%费用。 注：1.付款方式：采用银行汇付（含电汇）等形式； 2.由于本项目资金来源为财政性资金，须执行相关程序，故上述约定时间为采购人完成向财政部门申请支付的手续的时间，采购人仅负责在上述约定时间内完成申请支付的手续，实际付款到账时间及金额以财政拨付的时间及金额为准，采购人无需承担由此产生的迟延支付责任；在每次支付前，投标人必须向采购人开具与支付费用等额的合法有效的发票，方可办理相关申报支付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1.中标人完成技术服务工作的形式：依据项目需求和采购人要求提交工作成果。 2.技术服务工作成果的验收标准：成果必须符合行业规范、地方通用标准以及项目需求的要求。 3.技术服务工作成果的验收方法：采购人按照计划组织评审，并在通过评审后，由采购人出具同意结题函并归档。 4.验收的时间和地点：验收时间由采购人另行确定，验收地点在广州市。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广州市氢能基础设施建设项目推介清单</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2,700,000.00</w:t>
            </w:r>
          </w:p>
        </w:tc>
        <w:tc>
          <w:tcPr>
            <w:tcW w:type="dxa" w:w="933"/>
          </w:tcPr>
          <w:p>
            <w:pPr>
              <w:pStyle w:val="null3"/>
              <w:jc w:val="right"/>
            </w:pPr>
            <w:r>
              <w:rPr/>
              <w:t>2,700,000.00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广州市氢能基础设施建设项目推介清单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4"/>
              <w:jc w:val="both"/>
            </w:pPr>
            <w:r>
              <w:rPr>
                <w:sz w:val="24"/>
                <w:b/>
              </w:rPr>
              <w:t>一、项目背景</w:t>
            </w:r>
          </w:p>
          <w:p>
            <w:pPr>
              <w:pStyle w:val="null3"/>
              <w:ind w:firstLine="425"/>
              <w:jc w:val="both"/>
            </w:pPr>
            <w:r>
              <w:rPr>
                <w:sz w:val="24"/>
              </w:rPr>
              <w:t>2024年2月19日，广州高质量发展大会锚定“排头兵、领头羊、火车头”标高追求，提出“大干十二年、再造新广州”，不断提升发展“含金量”“含绿量”“含新量”。提升发展“含绿量”的关键在于发展新能源产业。而氢能产业是广州新能源千亿级产业链的重要抓手。推进氢能基础设施建设项目落地，形成项目清单，拉动氢能产业投资对落实广州市高质量发展要求，不断提升发展“含绿量”，落实深化广州“十四五”规划，打造广州新能源千亿级产业链具有重要意义。为创新探索及推动氢能应用场景的推广，加快推进广州市氢能基础设施建设，因此，需要制定广州市氢能基础设施建设项目推介清单，推进项目落地，拉动氢能产业投资。</w:t>
            </w:r>
          </w:p>
          <w:p>
            <w:pPr>
              <w:pStyle w:val="null3"/>
              <w:ind w:firstLine="426"/>
              <w:jc w:val="both"/>
            </w:pPr>
            <w:r>
              <w:rPr>
                <w:sz w:val="24"/>
                <w:b/>
              </w:rPr>
              <w:t>二、工作要求</w:t>
            </w:r>
          </w:p>
          <w:p>
            <w:pPr>
              <w:pStyle w:val="null3"/>
              <w:ind w:firstLine="426"/>
              <w:jc w:val="both"/>
            </w:pPr>
            <w:r>
              <w:rPr>
                <w:sz w:val="24"/>
                <w:b/>
              </w:rPr>
              <w:t>（一）创新驱动、产业友好、政企共进、适度超前</w:t>
            </w:r>
          </w:p>
          <w:p>
            <w:pPr>
              <w:pStyle w:val="null3"/>
              <w:ind w:firstLine="425"/>
              <w:jc w:val="both"/>
            </w:pPr>
            <w:r>
              <w:rPr>
                <w:sz w:val="24"/>
              </w:rPr>
              <w:t>落实生态文明建设整体布局，实现碳达峰碳中和，坚持市场驱动和政府引导相结合推进政企共进，有序开展氢能技术创新与产业应用示范。坚持创新驱动发展，加快氢能创新体系建设，以需求为导向，带动产品创新、应用创新和商业模式创新。</w:t>
            </w:r>
          </w:p>
          <w:p>
            <w:pPr>
              <w:pStyle w:val="null3"/>
              <w:ind w:firstLine="425"/>
              <w:jc w:val="both"/>
            </w:pPr>
            <w:r>
              <w:rPr>
                <w:sz w:val="24"/>
              </w:rPr>
              <w:t>发挥市场在资源配置中的决定性作用，突出企业主体地位，加强产学研用深度融合，着力提高氢能技术经济性，积极探索氢能利用的商业化路径。更好发挥政府作用，完善产业发展基础性制度体系，强化全国一盘棋，科学优化产业布局，引导产业规范发展。</w:t>
            </w:r>
          </w:p>
          <w:p>
            <w:pPr>
              <w:pStyle w:val="null3"/>
              <w:ind w:firstLine="426"/>
              <w:jc w:val="both"/>
            </w:pPr>
            <w:r>
              <w:rPr>
                <w:sz w:val="24"/>
                <w:b/>
              </w:rPr>
              <w:t>（二）示范先行、供需互促、统筹建设、清单推介</w:t>
            </w:r>
          </w:p>
          <w:p>
            <w:pPr>
              <w:pStyle w:val="null3"/>
              <w:ind w:firstLine="425"/>
              <w:jc w:val="both"/>
            </w:pPr>
            <w:r>
              <w:rPr>
                <w:sz w:val="24"/>
              </w:rPr>
              <w:t>稳步推进氢能先行示范应用。积极发挥规划引导和政策激励作用，统筹考虑氢能供应能力、产业基础和市场空间，与技术创新水平相适应，有序开展氢能技术创新与产业应用示范。坚持点线结合、以点带面，因地制宜拓展氢能应用场景，稳慎推动氢能在交通、储能、发电、工业等领域的多元应用，统筹推进氢能基础设施建设。基于产业友好，面向实施，形成项目清单，向社会资本推介，推动项目落地。</w:t>
            </w:r>
          </w:p>
          <w:p>
            <w:pPr>
              <w:pStyle w:val="null3"/>
              <w:ind w:firstLine="426"/>
              <w:jc w:val="both"/>
            </w:pPr>
            <w:r>
              <w:rPr>
                <w:sz w:val="24"/>
                <w:b/>
              </w:rPr>
              <w:t>三、工作内容</w:t>
            </w:r>
          </w:p>
          <w:p>
            <w:pPr>
              <w:pStyle w:val="null3"/>
              <w:ind w:firstLine="425"/>
              <w:jc w:val="both"/>
            </w:pPr>
            <w:r>
              <w:rPr>
                <w:sz w:val="24"/>
              </w:rPr>
              <w:t>摸查氢燃料汽车使用对象，预测氢燃料车规模，结合加氢站服务规模合理预测加氢站数量；分析物流、环卫、工程领域氢燃料车运营特征，构建加氢站需求体系布局；建立涵盖区位、用地和建设等多层次评价体系，明确加氢站候选地址空间分布；将加氢站需求体系与加氢站候选场址进行空间匹配，明确选址位置。</w:t>
            </w:r>
          </w:p>
          <w:p>
            <w:pPr>
              <w:pStyle w:val="null3"/>
              <w:ind w:firstLine="426"/>
              <w:jc w:val="both"/>
            </w:pPr>
            <w:r>
              <w:rPr>
                <w:sz w:val="24"/>
                <w:b/>
              </w:rPr>
              <w:t>（一）探索应用场景，明确应用对象</w:t>
            </w:r>
          </w:p>
          <w:p>
            <w:pPr>
              <w:pStyle w:val="null3"/>
              <w:ind w:firstLine="425"/>
              <w:jc w:val="both"/>
            </w:pPr>
            <w:r>
              <w:rPr>
                <w:sz w:val="24"/>
              </w:rPr>
              <w:t>摸查广州市氢燃料汽车发展现状，结合广州市氢产业发展情况，明确氢燃料汽车使用场景；摸查现状加氢站分布及运营情况，建立加氢站现状台账。</w:t>
            </w:r>
          </w:p>
          <w:p>
            <w:pPr>
              <w:pStyle w:val="null3"/>
              <w:ind w:firstLine="426"/>
              <w:jc w:val="both"/>
            </w:pPr>
            <w:r>
              <w:rPr>
                <w:sz w:val="24"/>
                <w:b/>
              </w:rPr>
              <w:t>（二）构建加氢站需求体系布局</w:t>
            </w:r>
          </w:p>
          <w:p>
            <w:pPr>
              <w:pStyle w:val="null3"/>
              <w:ind w:firstLine="425"/>
              <w:jc w:val="both"/>
            </w:pPr>
            <w:r>
              <w:rPr>
                <w:sz w:val="24"/>
              </w:rPr>
              <w:t>搭建模型预测氢燃料汽车规模，结合加氢站服务规划合理预测加氢站数量；分析广州市物流产业发展及物流通道，环卫停车场分布、工程领域车辆运行特征等，明确氢燃料汽车运营特征，构建加氢站需求体系布局。</w:t>
            </w:r>
          </w:p>
          <w:p>
            <w:pPr>
              <w:pStyle w:val="null3"/>
              <w:ind w:firstLine="426"/>
              <w:jc w:val="both"/>
            </w:pPr>
            <w:r>
              <w:rPr>
                <w:sz w:val="24"/>
                <w:b/>
              </w:rPr>
              <w:t>（三）明确加氢站选址及项目推介清单</w:t>
            </w:r>
          </w:p>
          <w:p>
            <w:pPr>
              <w:pStyle w:val="null3"/>
              <w:ind w:firstLine="425"/>
              <w:jc w:val="both"/>
            </w:pPr>
            <w:r>
              <w:rPr>
                <w:sz w:val="24"/>
              </w:rPr>
              <w:t>分析物流、环卫、工程领域车辆运行特征及既有加油、充电站分布、区位、用地，构建多层次评价体系，明确加氢站候选场址空间分布。将加氢站需求体系布局与候选场址布局进行空间匹配，明确加氢站选址。综合选址的综合评价及建设条件，落实加氢站选址建设时序，针对近中期建设项目形成项目推介清单，推进项目落地。</w:t>
            </w:r>
          </w:p>
          <w:p>
            <w:pPr>
              <w:pStyle w:val="null3"/>
              <w:ind w:firstLine="426"/>
              <w:jc w:val="both"/>
            </w:pPr>
            <w:r>
              <w:rPr>
                <w:sz w:val="24"/>
                <w:b/>
              </w:rPr>
              <w:t>四、工作成果要求</w:t>
            </w:r>
          </w:p>
          <w:p>
            <w:pPr>
              <w:pStyle w:val="null3"/>
              <w:ind w:firstLine="425"/>
              <w:jc w:val="both"/>
            </w:pPr>
            <w:r>
              <w:rPr>
                <w:sz w:val="24"/>
              </w:rPr>
              <w:t>（一）规划成果内容包括但不限于现状分析、政策解读、需求预测、规划方案等有关章节内容。</w:t>
            </w:r>
          </w:p>
          <w:p>
            <w:pPr>
              <w:pStyle w:val="null3"/>
              <w:ind w:firstLine="425"/>
              <w:jc w:val="both"/>
            </w:pPr>
            <w:r>
              <w:rPr>
                <w:sz w:val="24"/>
              </w:rPr>
              <w:t>（二）规划成果包括：规划文本、图纸和附件以及相对应的电子文件。</w:t>
            </w:r>
          </w:p>
          <w:p>
            <w:pPr>
              <w:pStyle w:val="null3"/>
              <w:ind w:firstLine="425"/>
              <w:jc w:val="both"/>
            </w:pPr>
            <w:r>
              <w:rPr>
                <w:sz w:val="24"/>
              </w:rPr>
              <w:t>（三）成果数量根据汇报和审查实际需要提供，成果形式包括纸质文档和电子文档。</w:t>
            </w:r>
          </w:p>
          <w:p>
            <w:pPr>
              <w:pStyle w:val="null3"/>
              <w:ind w:firstLine="425"/>
              <w:jc w:val="both"/>
            </w:pPr>
            <w:r>
              <w:rPr>
                <w:sz w:val="24"/>
              </w:rPr>
              <w:t>（四）文本成果采用WORD和PDF格式文件；图件成果采用JPG和SHP等格式文件，汇报演示文件采用PPT格式。</w:t>
            </w:r>
          </w:p>
          <w:p>
            <w:pPr>
              <w:pStyle w:val="null3"/>
              <w:ind w:firstLine="425"/>
              <w:jc w:val="left"/>
            </w:pPr>
            <w:r>
              <w:rPr>
                <w:sz w:val="24"/>
              </w:rPr>
              <w:t>（五）研究成果应符合国家或本省、市相关的法律、法规、条例、规范、标准等。</w:t>
            </w:r>
          </w:p>
        </w:tc>
      </w:tr>
      <w:tr>
        <w:tc>
          <w:tcPr>
            <w:tcW w:type="dxa" w:w="2076"/>
          </w:tcPr>
          <w:p/>
        </w:tc>
        <w:tc>
          <w:tcPr>
            <w:tcW w:type="dxa" w:w="415"/>
          </w:tcPr>
          <w:p>
            <w:pPr>
              <w:pStyle w:val="null3"/>
            </w:pPr>
            <w:r>
              <w:rPr/>
              <w:t>2</w:t>
            </w:r>
          </w:p>
        </w:tc>
        <w:tc>
          <w:tcPr>
            <w:tcW w:type="dxa" w:w="5814"/>
          </w:tcPr>
          <w:p>
            <w:pPr>
              <w:pStyle w:val="null3"/>
              <w:ind w:firstLine="424"/>
              <w:jc w:val="both"/>
            </w:pPr>
            <w:r>
              <w:rPr>
                <w:sz w:val="24"/>
                <w:b/>
              </w:rPr>
              <w:t>其他要求</w:t>
            </w:r>
          </w:p>
          <w:p>
            <w:pPr>
              <w:pStyle w:val="null3"/>
              <w:ind w:firstLine="422"/>
              <w:jc w:val="both"/>
            </w:pPr>
            <w:r>
              <w:rPr>
                <w:sz w:val="24"/>
              </w:rPr>
              <w:t>1.中标人单位需配置不少于10人的技术团队完成项目，其中项目负责人需具备城乡规划高级工程师（或以上）职称；技术团队成员（不包括项目负责人）具备城市规划（城乡规划）或交通工程或市政路桥设计或建筑学相关专业工程师（或以上）职称。</w:t>
            </w:r>
          </w:p>
          <w:p>
            <w:pPr>
              <w:pStyle w:val="null3"/>
              <w:ind w:firstLine="422"/>
              <w:jc w:val="both"/>
            </w:pPr>
            <w:r>
              <w:rPr>
                <w:sz w:val="24"/>
              </w:rPr>
              <w:t>2.中标人应制定详尽的工作计划，包括但不限于：①项目的理解与认识；②对相关规划的分析解读；③工作方法与技术路线；④项目编制的重点、难点分析；⑤初步方案建议；⑥进度计划、保障措施、后期服务承诺等。全面落实执行并完成项目任务及相关工作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广州市发展和改革委员会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氢能基础设施建设项目推介清单)：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采购包1（广州市氢能基础设施建设项目推介清单）：</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采购包1（广州市氢能基础设施建设项目推介清单）：</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投标人必须具有城乡规划编制乙级资质。</w:t>
            </w:r>
          </w:p>
        </w:tc>
        <w:tc>
          <w:tcPr>
            <w:tcW w:type="dxa" w:w="4238"/>
          </w:tcPr>
          <w:p>
            <w:pPr>
              <w:pStyle w:val="null3"/>
            </w:pPr>
            <w:r>
              <w:rPr/>
              <w:t>投标人必须具有城乡规划编制乙级资质。（提供证书复印件。如相关主管部门有最新政策，按最新政策执行）</w:t>
            </w:r>
          </w:p>
        </w:tc>
      </w:tr>
      <w:tr>
        <w:tc>
          <w:tcPr>
            <w:tcW w:type="dxa" w:w="890"/>
          </w:tcPr>
          <w:p>
            <w:pPr>
              <w:pStyle w:val="null3"/>
            </w:pPr>
            <w:r>
              <w:rPr/>
              <w:t>11</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采购包1（广州市氢能基础设施建设项目推介清单）：</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采购包1(广州市氢能基础设施建设项目推介清单):</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项目的理解与认识 (5.0分)</w:t>
            </w:r>
            <w:r>
              <w:rPr/>
              <w:t>，（等次分值选择：</w:t>
            </w:r>
            <w:r>
              <w:rPr/>
              <w:t>0.0;</w:t>
            </w:r>
            <w:r>
              <w:rPr/>
              <w:t>1.0;</w:t>
            </w:r>
            <w:r>
              <w:rPr/>
              <w:t>3.0;</w:t>
            </w:r>
            <w:r>
              <w:rPr/>
              <w:t>5.0;</w:t>
            </w:r>
            <w:r>
              <w:rPr/>
              <w:t>）</w:t>
            </w:r>
          </w:p>
        </w:tc>
        <w:tc>
          <w:tcPr>
            <w:tcW w:type="dxa" w:w="5076"/>
          </w:tcPr>
          <w:p>
            <w:pPr>
              <w:pStyle w:val="null3"/>
              <w:jc w:val="left"/>
            </w:pPr>
            <w:r>
              <w:rPr/>
              <w:t>根据投标人对本项目的理解与认识情况（内容包括但不限于①对本项目任务的理解；②对本项目背景的认识；③投标人负责该项目的优势）进行评审： 1.投标人充分理解和掌握本项目工作任务要求，了解行业发展背景及相关政策要求，企业综合实力强、类似项目规划经验丰富、准确把握当地政策和思路，完全满足且优于采购需求，得5分。 2.投标人能理解和掌握本项目工作任务要求；基本了解项目发展背景及相关政策要求，企业综合实力较强和类似项目规划经验较多，基本把握当地政策和思路，满足采购需求，得3分。 3.投标人部分理解和掌握本项目工作任务要求；部分熟悉和了解项目发展背景及相关政策要求；企业综合实力一般和有类似项目经验，部分满足采购需求，得1分。 4.其它或没有提供，得0分。</w:t>
            </w:r>
          </w:p>
        </w:tc>
      </w:tr>
      <w:tr>
        <w:tc>
          <w:tcPr>
            <w:tcW w:type="dxa" w:w="922"/>
            <w:gridSpan w:val="2"/>
            <w:vMerge/>
          </w:tcPr>
          <w:p/>
        </w:tc>
        <w:tc>
          <w:tcPr>
            <w:tcW w:type="dxa" w:w="2307"/>
          </w:tcPr>
          <w:p>
            <w:pPr>
              <w:pStyle w:val="null3"/>
              <w:jc w:val="left"/>
            </w:pPr>
            <w:r>
              <w:rPr/>
              <w:t>对相关规划的分析解读 (8.0分)</w:t>
            </w:r>
            <w:r>
              <w:rPr/>
              <w:t>，（等次分值选择：</w:t>
            </w:r>
            <w:r>
              <w:rPr/>
              <w:t>0.0;</w:t>
            </w:r>
            <w:r>
              <w:rPr/>
              <w:t>3.0;</w:t>
            </w:r>
            <w:r>
              <w:rPr/>
              <w:t>6.0;</w:t>
            </w:r>
            <w:r>
              <w:rPr/>
              <w:t>8.0;</w:t>
            </w:r>
            <w:r>
              <w:rPr/>
              <w:t>）</w:t>
            </w:r>
          </w:p>
        </w:tc>
        <w:tc>
          <w:tcPr>
            <w:tcW w:type="dxa" w:w="5076"/>
          </w:tcPr>
          <w:p>
            <w:pPr>
              <w:pStyle w:val="null3"/>
              <w:jc w:val="left"/>
            </w:pPr>
            <w:r>
              <w:rPr/>
              <w:t>根据投标人对相关规划的分析解读进行评审： （1）对相关规划的分析解读完整，内容极具深度、透彻性及全面性，完全满足且优于采购需求，得8分。 （2）对相关规划的分析解读基本完整，内容具有一定深度、透彻性及全面性，满足采购需求，得6分。 （3）对相关规划的分析解读不完整，内容简单，部分满足采购需求，得3分。 （4）其它或没有提供，得0分。</w:t>
            </w:r>
          </w:p>
        </w:tc>
      </w:tr>
      <w:tr>
        <w:tc>
          <w:tcPr>
            <w:tcW w:type="dxa" w:w="922"/>
            <w:gridSpan w:val="2"/>
            <w:vMerge/>
          </w:tcPr>
          <w:p/>
        </w:tc>
        <w:tc>
          <w:tcPr>
            <w:tcW w:type="dxa" w:w="2307"/>
          </w:tcPr>
          <w:p>
            <w:pPr>
              <w:pStyle w:val="null3"/>
              <w:jc w:val="left"/>
            </w:pPr>
            <w:r>
              <w:rPr/>
              <w:t>工作方法与技术路线 (6.0分)</w:t>
            </w:r>
            <w:r>
              <w:rPr/>
              <w:t>，（等次分值选择：</w:t>
            </w:r>
            <w:r>
              <w:rPr/>
              <w:t>0.0;</w:t>
            </w:r>
            <w:r>
              <w:rPr/>
              <w:t>1.0;</w:t>
            </w:r>
            <w:r>
              <w:rPr/>
              <w:t>3.0;</w:t>
            </w:r>
            <w:r>
              <w:rPr/>
              <w:t>6.0;</w:t>
            </w:r>
            <w:r>
              <w:rPr/>
              <w:t>）</w:t>
            </w:r>
          </w:p>
        </w:tc>
        <w:tc>
          <w:tcPr>
            <w:tcW w:type="dxa" w:w="5076"/>
          </w:tcPr>
          <w:p>
            <w:pPr>
              <w:pStyle w:val="null3"/>
              <w:jc w:val="left"/>
            </w:pPr>
            <w:r>
              <w:rPr/>
              <w:t>根据投标人提供的工作方法、技术路线（内容包括但不限于①工作方法；②技术路线；③成果设想等内容）进行评审： 1.项目技术路线、总体工作思路详细完整且重点突出，准备采取的工作方法明确，成果框架、文件及形式完整且全面，完全满足且优于采购需求，得6分。 2.项目技术路线、总体工作思路基本完整，准备采取的工作方法基本明确，成果框架、文件及形式基本完整，满足采购需求，得3分。 3.项目技术路线、总体工作思路不够完整、内容简单，准备采取的工作方法不明确，成果框架、文件及形式简单，部分满足采购需求，得1分。 4.其它或没有提供，得0分。</w:t>
            </w:r>
          </w:p>
        </w:tc>
      </w:tr>
      <w:tr>
        <w:tc>
          <w:tcPr>
            <w:tcW w:type="dxa" w:w="922"/>
            <w:gridSpan w:val="2"/>
            <w:vMerge/>
          </w:tcPr>
          <w:p/>
        </w:tc>
        <w:tc>
          <w:tcPr>
            <w:tcW w:type="dxa" w:w="2307"/>
          </w:tcPr>
          <w:p>
            <w:pPr>
              <w:pStyle w:val="null3"/>
              <w:jc w:val="left"/>
            </w:pPr>
            <w:r>
              <w:rPr/>
              <w:t>项目编制的重点、难点分析 (6.0分)</w:t>
            </w:r>
          </w:p>
        </w:tc>
        <w:tc>
          <w:tcPr>
            <w:tcW w:type="dxa" w:w="5076"/>
          </w:tcPr>
          <w:p>
            <w:pPr>
              <w:pStyle w:val="null3"/>
              <w:jc w:val="left"/>
            </w:pPr>
            <w:r>
              <w:rPr/>
              <w:t>（1）能根据采购需求列举本项目的重难点，每列举一项得0.5分，本小项最高得3分； （2）根据上述的重难点提出响应的措施建议，每提出一条有效解决措施得0.5分，本小项最高得3分。</w:t>
            </w:r>
          </w:p>
        </w:tc>
      </w:tr>
      <w:tr>
        <w:tc>
          <w:tcPr>
            <w:tcW w:type="dxa" w:w="922"/>
            <w:gridSpan w:val="2"/>
            <w:vMerge/>
          </w:tcPr>
          <w:p/>
        </w:tc>
        <w:tc>
          <w:tcPr>
            <w:tcW w:type="dxa" w:w="2307"/>
          </w:tcPr>
          <w:p>
            <w:pPr>
              <w:pStyle w:val="null3"/>
              <w:jc w:val="left"/>
            </w:pPr>
            <w:r>
              <w:rPr/>
              <w:t>初步方案建议 (15.0分)</w:t>
            </w:r>
            <w:r>
              <w:rPr/>
              <w:t>，（等次分值选择：</w:t>
            </w:r>
            <w:r>
              <w:rPr/>
              <w:t>0.0;</w:t>
            </w:r>
            <w:r>
              <w:rPr/>
              <w:t>5.0;</w:t>
            </w:r>
            <w:r>
              <w:rPr/>
              <w:t>10.0;</w:t>
            </w:r>
            <w:r>
              <w:rPr/>
              <w:t>15.0;</w:t>
            </w:r>
            <w:r>
              <w:rPr/>
              <w:t>）</w:t>
            </w:r>
          </w:p>
        </w:tc>
        <w:tc>
          <w:tcPr>
            <w:tcW w:type="dxa" w:w="5076"/>
          </w:tcPr>
          <w:p>
            <w:pPr>
              <w:pStyle w:val="null3"/>
              <w:jc w:val="left"/>
            </w:pPr>
            <w:r>
              <w:rPr/>
              <w:t>根据投标人对项目提出的初步方案建议（包括但不限于①现状氢能基础设施情况梳理，②氢能基础设施需求预测思路，③氢能基础设施布局初步规划方案等内容）进行评审： 1.现状情况梳理详尽、全面，对现状存在问题分析准确，需求预测思路清晰、科学、可行，初步规划方案贴合实际、科学合理，具备很强的指导性和可实施性，完全满足且优于采购需求，得15分。 2. 现状情况梳理基本到位，对现状存在问题分析较为准确，需求预测思路合理可行，初步规划方案基本合理，具有可实施性，基本满足采购需求，得10分。 3. 现状情况梳理简单，对现状存在问题分析部分准确，需求预测思路基本合理，初步规划方案部分合理，部分满足采购需求，得5分。 4.其它或没有提供，得0分。</w:t>
            </w:r>
          </w:p>
        </w:tc>
      </w:tr>
      <w:tr>
        <w:tc>
          <w:tcPr>
            <w:tcW w:type="dxa" w:w="922"/>
            <w:gridSpan w:val="2"/>
            <w:vMerge/>
          </w:tcPr>
          <w:p/>
        </w:tc>
        <w:tc>
          <w:tcPr>
            <w:tcW w:type="dxa" w:w="2307"/>
          </w:tcPr>
          <w:p>
            <w:pPr>
              <w:pStyle w:val="null3"/>
              <w:jc w:val="left"/>
            </w:pPr>
            <w:r>
              <w:rPr/>
              <w:t>进度计划、保障措施、后期服务承诺 (5.0分)</w:t>
            </w:r>
            <w:r>
              <w:rPr/>
              <w:t>，（等次分值选择：</w:t>
            </w:r>
            <w:r>
              <w:rPr/>
              <w:t>0.0;</w:t>
            </w:r>
            <w:r>
              <w:rPr/>
              <w:t>1.0;</w:t>
            </w:r>
            <w:r>
              <w:rPr/>
              <w:t>3.0;</w:t>
            </w:r>
            <w:r>
              <w:rPr/>
              <w:t>5.0;</w:t>
            </w:r>
            <w:r>
              <w:rPr/>
              <w:t>）</w:t>
            </w:r>
          </w:p>
        </w:tc>
        <w:tc>
          <w:tcPr>
            <w:tcW w:type="dxa" w:w="5076"/>
          </w:tcPr>
          <w:p>
            <w:pPr>
              <w:pStyle w:val="null3"/>
              <w:jc w:val="left"/>
            </w:pPr>
            <w:r>
              <w:rPr/>
              <w:t>根据投标人提供的进度计划、保障措施、后期服务承诺（内容包括但不限于①进度计划、②质量和技术保障措施、③后期服务承诺）进行评审： 1.投标人能提供详细明确的项目工作时间安排，有设定明确的实施计划流程，每个工作节点衔接顺畅，质量保障措施和保密措施完整，目标明确，能提供详细的质量和保密控制过程所使用的方法、风险预防和应对措施，承诺提供后期服务，具有对本项目长期跟踪研究服务的能力，完全满足且优于采购需求，得5分。 2.投标人制定项目工作时间安排、实施计划流程和工作计划简单，质量保障措施和保密措施基本完整，目标基本明确，能提供简单的质量和保密控制过程所使用的方法、风险预防和应对措施，承诺提供后期服务，满足采购需求，得3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项目经验及业绩 (10.0分)</w:t>
            </w:r>
          </w:p>
        </w:tc>
        <w:tc>
          <w:tcPr>
            <w:tcW w:type="dxa" w:w="5076"/>
          </w:tcPr>
          <w:p>
            <w:pPr>
              <w:pStyle w:val="null3"/>
              <w:jc w:val="left"/>
            </w:pPr>
            <w:r>
              <w:rPr/>
              <w:t>投标人同类相关项目业绩情况： 1、2019年1月1日（以合同签订时间为准）以来承担过城市交通能源设施（如加氢站、加油站、加气站、充电基础设施等）规划研究项目，每个得2分；本项最高得6分。 2、2019年1月1日（以合同签订时间为准）以来承担过城市交通基础设施选址评估或咨询项目，每个得1分；本项最高得3分。 3、2019年1月1日（以合同签订时间为准）以来承担过城市交通基础设施技术审查项目，每个得1分；本项最高得1分。 注：需提供合同关键页（含签订合同双方的单位名称、合同项目名称与含签订合同双方的落款盖章、签订日期的关键页）复印件，否则无效。</w:t>
            </w:r>
          </w:p>
        </w:tc>
      </w:tr>
      <w:tr>
        <w:tc>
          <w:tcPr>
            <w:tcW w:type="dxa" w:w="922"/>
            <w:gridSpan w:val="2"/>
            <w:vMerge/>
          </w:tcPr>
          <w:p/>
        </w:tc>
        <w:tc>
          <w:tcPr>
            <w:tcW w:type="dxa" w:w="2307"/>
          </w:tcPr>
          <w:p>
            <w:pPr>
              <w:pStyle w:val="null3"/>
              <w:jc w:val="left"/>
            </w:pPr>
            <w:r>
              <w:rPr/>
              <w:t>投标人技术实力 (10.0分)</w:t>
            </w:r>
          </w:p>
        </w:tc>
        <w:tc>
          <w:tcPr>
            <w:tcW w:type="dxa" w:w="5076"/>
          </w:tcPr>
          <w:p>
            <w:pPr>
              <w:pStyle w:val="null3"/>
              <w:jc w:val="left"/>
            </w:pPr>
            <w:r>
              <w:rPr/>
              <w:t>1、2019年1月1日至今完成的交通类项目获得政府部门颁发的奖项，每个得3分，本项最高得6分。 注：需提供获奖证明复印件，以奖项年度、获奖证书为准，同一项目按最高奖项计分，不得重复计算。 2、为提高项目管理及城市交通数据处理的能力，确保成果质量和数据的准确性，投标人在项目服务过程中能提供应用交通数据分析与管理相关系统（软件）进行数据处理分析，每个得2分，本项最高得4分。 注：需提供购买的系统（软件）须提供购买发票及系统（软件）界面；自行研发的系统（软件）须提供著作权证书及系统（软件）界面。</w:t>
            </w:r>
          </w:p>
        </w:tc>
      </w:tr>
      <w:tr>
        <w:tc>
          <w:tcPr>
            <w:tcW w:type="dxa" w:w="922"/>
            <w:gridSpan w:val="2"/>
            <w:vMerge/>
          </w:tcPr>
          <w:p/>
        </w:tc>
        <w:tc>
          <w:tcPr>
            <w:tcW w:type="dxa" w:w="2307"/>
          </w:tcPr>
          <w:p>
            <w:pPr>
              <w:pStyle w:val="null3"/>
              <w:jc w:val="left"/>
            </w:pPr>
            <w:r>
              <w:rPr/>
              <w:t>项目负责人情况 (3.0分)</w:t>
            </w:r>
          </w:p>
        </w:tc>
        <w:tc>
          <w:tcPr>
            <w:tcW w:type="dxa" w:w="5076"/>
          </w:tcPr>
          <w:p>
            <w:pPr>
              <w:pStyle w:val="null3"/>
              <w:jc w:val="left"/>
            </w:pPr>
            <w:r>
              <w:rPr/>
              <w:t>1、投标人拟投入项目负责人资质情况： （1）同时具备城乡规划教授级高级工程师职称、注册咨询师资格的，得3分； （2）具备城乡规划教授级高级工程师职称的，得2分； （3）具备城乡规划高级工程师职称的，得1分； （4）其他情况不得分。 本项最高得分3分。 注：提供项目负责人的①资格证书复印件；②职称证书复印件；③在投标单位任职的证明材料（如提供加盖政府有关部门印章的打印日期在本项目投标截止日之前3个月内任意一个月的《投保单》或《社会保险参保人员证明》或单位代缴个人所得税税单或劳动合同）作为证明材料。</w:t>
            </w:r>
          </w:p>
        </w:tc>
      </w:tr>
      <w:tr>
        <w:tc>
          <w:tcPr>
            <w:tcW w:type="dxa" w:w="922"/>
            <w:gridSpan w:val="2"/>
            <w:vMerge/>
          </w:tcPr>
          <w:p/>
        </w:tc>
        <w:tc>
          <w:tcPr>
            <w:tcW w:type="dxa" w:w="2307"/>
          </w:tcPr>
          <w:p>
            <w:pPr>
              <w:pStyle w:val="null3"/>
              <w:jc w:val="left"/>
            </w:pPr>
            <w:r>
              <w:rPr/>
              <w:t>项目人员配置情况 (14.0分)</w:t>
            </w:r>
          </w:p>
        </w:tc>
        <w:tc>
          <w:tcPr>
            <w:tcW w:type="dxa" w:w="5076"/>
          </w:tcPr>
          <w:p>
            <w:pPr>
              <w:pStyle w:val="null3"/>
              <w:jc w:val="left"/>
            </w:pPr>
            <w:r>
              <w:rPr/>
              <w:t>主要技术人员（项目负责人除外）： 1、项目组成员同时具有城市规划（城乡规划）高级工程师（或以上）职称、注册咨询师资格，每人得2分。本项最高得10分。 注：提供以上主要技术人员的职称证或注册资格证复印件及在投标单位任职的证明材料（如提供加盖政府有关部门印章的打印日期在本项目投标截止日之前3个月内任意一个月的《投保单》或《社会保险参保人员证明》或单位代缴个人所得税税单或劳动合同）作为证明材料，无或缺项或未按要求递交证明材料的，不得分。 2、项目团队成员涵盖城市规划（城乡规划）、交通工程、市政路桥设计、建筑学相关专业高级工程师职称，上述专业齐全的，得4分；欠缺其中任一个专业的，得2分；其余不得分。 注：（1）须同时提供团队成员①职称证书，②在投标单位任职的证明材料（如提供加盖政府有关部门印章的打印日期在本项目投标截止日之前3个月内任意一个月的《投保单》或《社会保险参保人员证明》或单位代缴个人所得税税单或劳动合同）作为证明材料，③人员专业以职称证书为准，否则无效。（2）未按上述要求提供证明材料的，或提供的证明材料均不能反映相关评审内容的，对应项得分不予计算。</w:t>
            </w:r>
          </w:p>
        </w:tc>
      </w:tr>
      <w:tr>
        <w:tc>
          <w:tcPr>
            <w:tcW w:type="dxa" w:w="922"/>
            <w:gridSpan w:val="2"/>
            <w:vMerge/>
          </w:tcPr>
          <w:p/>
        </w:tc>
        <w:tc>
          <w:tcPr>
            <w:tcW w:type="dxa" w:w="2307"/>
          </w:tcPr>
          <w:p>
            <w:pPr>
              <w:pStyle w:val="null3"/>
              <w:jc w:val="left"/>
            </w:pPr>
            <w:r>
              <w:rPr/>
              <w:t>服务保障能力 (3.0分)</w:t>
            </w:r>
          </w:p>
        </w:tc>
        <w:tc>
          <w:tcPr>
            <w:tcW w:type="dxa" w:w="5076"/>
          </w:tcPr>
          <w:p>
            <w:pPr>
              <w:pStyle w:val="null3"/>
              <w:jc w:val="left"/>
            </w:pPr>
            <w:r>
              <w:rPr/>
              <w:t>(1)投标人承诺在收到采购人通知（电话或书面）后0.5小时内（含0.5小时）响应到位的，得3分； (2)投标人承诺在收到采购人通知（电话或书面）后1小时内（含1小时）响应到位的，得2分； (3)投标人承诺在收到采购人通知（电话或书面）后1-2小时内（含2小时）响应到位的，得1分； (4)其它情况不得分。 注：需提供承诺函原件（格式自拟）并加盖投标人公章，否则不得分。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jc w:val="center"/>
      </w:pPr>
      <w:r>
        <w:rPr>
          <w:sz w:val="30"/>
          <w:b/>
        </w:rPr>
        <w:t>广州市氢能基础设施建设项目推介清单合同</w:t>
      </w:r>
    </w:p>
    <w:p>
      <w:pPr>
        <w:pStyle w:val="null3"/>
        <w:jc w:val="both"/>
      </w:pPr>
      <w:r>
        <w:rPr>
          <w:sz w:val="24"/>
          <w:b/>
        </w:rPr>
        <w:t>甲方：</w:t>
      </w:r>
    </w:p>
    <w:p>
      <w:pPr>
        <w:pStyle w:val="null3"/>
        <w:jc w:val="both"/>
      </w:pPr>
      <w:r>
        <w:rPr>
          <w:sz w:val="24"/>
        </w:rPr>
        <w:t>电话：          传真：          地址：</w:t>
      </w:r>
    </w:p>
    <w:p>
      <w:pPr>
        <w:pStyle w:val="null3"/>
        <w:jc w:val="both"/>
      </w:pPr>
      <w:r>
        <w:rPr>
          <w:sz w:val="24"/>
          <w:b/>
        </w:rPr>
        <w:t>乙方：</w:t>
      </w:r>
    </w:p>
    <w:p>
      <w:pPr>
        <w:pStyle w:val="null3"/>
        <w:jc w:val="both"/>
      </w:pPr>
      <w:r>
        <w:rPr>
          <w:sz w:val="24"/>
        </w:rPr>
        <w:t>电话：          传真：          地址：</w:t>
      </w:r>
    </w:p>
    <w:p>
      <w:pPr>
        <w:pStyle w:val="null3"/>
        <w:jc w:val="both"/>
      </w:pPr>
      <w:r>
        <w:rPr>
          <w:sz w:val="24"/>
        </w:rPr>
        <w:t>项目名称：                      采购编号：</w:t>
      </w:r>
    </w:p>
    <w:p>
      <w:pPr>
        <w:pStyle w:val="null3"/>
        <w:jc w:val="both"/>
      </w:pPr>
      <w:r>
        <w:rPr>
          <w:sz w:val="24"/>
        </w:rPr>
        <w:t>根据广州市氢能基础设施建设项目推介清单的采购结果，按照《中华人民共和国政府采购法》及其实施条例、《中华人民共和国民法典》的规定，经双方协商，本着平等互利和诚实信用的原则，一致同意签订本合同如下。</w:t>
      </w:r>
    </w:p>
    <w:p>
      <w:pPr>
        <w:pStyle w:val="null3"/>
        <w:ind w:firstLine="420"/>
        <w:jc w:val="both"/>
      </w:pPr>
      <w:r>
        <w:rPr>
          <w:sz w:val="24"/>
          <w:b/>
        </w:rPr>
        <w:t>一、合同金额</w:t>
      </w:r>
    </w:p>
    <w:p>
      <w:pPr>
        <w:pStyle w:val="null3"/>
        <w:ind w:firstLine="420"/>
        <w:jc w:val="both"/>
      </w:pPr>
      <w:r>
        <w:rPr>
          <w:sz w:val="24"/>
        </w:rPr>
        <w:t>合同金额为（大写）：_____________元（￥_______________），该费用包含项目的所有费用和税金。除此之外，甲方无需再向乙方支付任何费用。</w:t>
      </w:r>
    </w:p>
    <w:p>
      <w:pPr>
        <w:pStyle w:val="null3"/>
        <w:ind w:firstLine="420"/>
        <w:jc w:val="both"/>
      </w:pPr>
      <w:r>
        <w:rPr>
          <w:sz w:val="24"/>
          <w:b/>
        </w:rPr>
        <w:t>二、服务范围</w:t>
      </w:r>
    </w:p>
    <w:p>
      <w:pPr>
        <w:pStyle w:val="null3"/>
        <w:ind w:firstLine="420"/>
        <w:jc w:val="both"/>
      </w:pPr>
      <w:r>
        <w:rPr>
          <w:sz w:val="24"/>
        </w:rPr>
        <w:t>甲方聘请乙方提供以下服务：广州市氢能基础设施建设项目推介清单。</w:t>
      </w:r>
    </w:p>
    <w:p>
      <w:pPr>
        <w:pStyle w:val="null3"/>
        <w:ind w:firstLine="420"/>
        <w:jc w:val="both"/>
      </w:pPr>
      <w:r>
        <w:rPr>
          <w:sz w:val="24"/>
          <w:b/>
        </w:rPr>
        <w:t>三、工作要求</w:t>
      </w:r>
    </w:p>
    <w:p>
      <w:pPr>
        <w:pStyle w:val="null3"/>
        <w:ind w:firstLine="420"/>
        <w:jc w:val="both"/>
      </w:pPr>
      <w:r>
        <w:rPr>
          <w:sz w:val="24"/>
        </w:rPr>
        <w:t>（一）创新驱动、产业友好、政企共进、适度超前</w:t>
      </w:r>
    </w:p>
    <w:p>
      <w:pPr>
        <w:pStyle w:val="null3"/>
        <w:ind w:firstLine="480"/>
        <w:jc w:val="both"/>
      </w:pPr>
      <w:r>
        <w:rPr>
          <w:sz w:val="24"/>
        </w:rPr>
        <w:t>落实生态文明建设整体布局，实现碳达峰碳中和，坚持市场驱动和政府引导相结合推进政企共进，有序开展氢能技术创新与产业应用示范。坚持创新驱动发展，加快氢能创新体系建设，以需求为导向，带动产品创新、应用创新和商业模式创新。发挥市场在资源配置中的决定性作用，突出企业主体地位，加强产学研用深度融合，着力提高氢能技术经济性，积极探索氢能利用的商业化路径。更好发挥政府作用，完善产业发展基础性制度体系，强化全国一盘棋，科学优化产业布局，引导产业规范发展。</w:t>
      </w:r>
    </w:p>
    <w:p>
      <w:pPr>
        <w:pStyle w:val="null3"/>
        <w:ind w:firstLine="420"/>
        <w:jc w:val="both"/>
      </w:pPr>
      <w:r>
        <w:rPr>
          <w:sz w:val="24"/>
        </w:rPr>
        <w:t>（二）示范先行、供需互促、统筹建设、清单推介</w:t>
      </w:r>
    </w:p>
    <w:p>
      <w:pPr>
        <w:pStyle w:val="null3"/>
        <w:ind w:firstLine="480"/>
        <w:jc w:val="both"/>
      </w:pPr>
      <w:r>
        <w:rPr>
          <w:sz w:val="24"/>
        </w:rPr>
        <w:t>稳步推进氢能先行示范应用。积极发挥规划引导和政策激励作用，统筹考虑氢能供应能力、产业基础和市场空间，与技术创新水平相适应，有序开展氢能技术创新与产业应用示范。坚持点线结合、以点带面，因地制宜拓展氢能应用场景，稳慎推动氢能在交通、储能、发电、工业等领域的多元应用，统筹推进氢能基础设施建设。基于产业友好，面向实施，形成项目清单，向社会资本推介，推动项目落地。</w:t>
      </w:r>
    </w:p>
    <w:p>
      <w:pPr>
        <w:pStyle w:val="null3"/>
        <w:ind w:firstLine="420"/>
        <w:jc w:val="both"/>
      </w:pPr>
      <w:r>
        <w:rPr>
          <w:sz w:val="24"/>
          <w:b/>
        </w:rPr>
        <w:t>四、工作内容</w:t>
      </w:r>
    </w:p>
    <w:p>
      <w:pPr>
        <w:pStyle w:val="null3"/>
        <w:ind w:firstLine="480"/>
        <w:jc w:val="both"/>
      </w:pPr>
      <w:r>
        <w:rPr>
          <w:sz w:val="24"/>
        </w:rPr>
        <w:t>摸查氢燃料汽车使用对象，预测氢燃料车规模，结合加氢站服务规模合理预测加氢站数量；分析物流、环卫、工程领域氢燃料车运营特征，构建加氢站需求体系布局；建立涵盖区位、用地和建设等多层次评价体系，明确加氢站候选地址空间分布；将加氢站需求体系与加氢站候选场址进行空间匹配，明确选址位置。</w:t>
      </w:r>
    </w:p>
    <w:p>
      <w:pPr>
        <w:pStyle w:val="null3"/>
        <w:ind w:firstLine="420"/>
        <w:jc w:val="both"/>
      </w:pPr>
      <w:r>
        <w:rPr>
          <w:sz w:val="24"/>
        </w:rPr>
        <w:t>（一）探索应用场景，明确应用对象</w:t>
      </w:r>
    </w:p>
    <w:p>
      <w:pPr>
        <w:pStyle w:val="null3"/>
        <w:ind w:firstLine="480"/>
        <w:jc w:val="both"/>
      </w:pPr>
      <w:r>
        <w:rPr>
          <w:sz w:val="24"/>
        </w:rPr>
        <w:t>摸查广州市氢燃料汽车发展现状，结合广州市氢产业发展情况，明确氢燃料汽车使用场景；摸查现状加氢站分布及运营情况，建立加氢站现状台账。</w:t>
      </w:r>
    </w:p>
    <w:p>
      <w:pPr>
        <w:pStyle w:val="null3"/>
        <w:ind w:firstLine="420"/>
        <w:jc w:val="both"/>
      </w:pPr>
      <w:r>
        <w:rPr>
          <w:sz w:val="24"/>
        </w:rPr>
        <w:t>（二）构建加氢站需求体系布局</w:t>
      </w:r>
    </w:p>
    <w:p>
      <w:pPr>
        <w:pStyle w:val="null3"/>
        <w:ind w:firstLine="480"/>
        <w:jc w:val="both"/>
      </w:pPr>
      <w:r>
        <w:rPr>
          <w:sz w:val="24"/>
        </w:rPr>
        <w:t>搭建模型预测氢燃料汽车规模，结合加氢站服务规划合理预测加氢站数量；分析广州市物流产业发展及物流通道，环卫停车场分布、工程领域车辆运行特征等，明确氢燃料汽车运营特征，构建加氢站需求体系布局。</w:t>
      </w:r>
    </w:p>
    <w:p>
      <w:pPr>
        <w:pStyle w:val="null3"/>
        <w:ind w:firstLine="420"/>
        <w:jc w:val="both"/>
      </w:pPr>
      <w:r>
        <w:rPr>
          <w:sz w:val="24"/>
        </w:rPr>
        <w:t>（三）明确加氢站选址及项目推介清单</w:t>
      </w:r>
    </w:p>
    <w:p>
      <w:pPr>
        <w:pStyle w:val="null3"/>
        <w:ind w:firstLine="480"/>
        <w:jc w:val="both"/>
      </w:pPr>
      <w:r>
        <w:rPr>
          <w:sz w:val="24"/>
        </w:rPr>
        <w:t>分析物流、环卫、工程领域车辆运行特征及既有加油、充电站分布、区位、用地，构建多层次评价体系，明确加氢站候选场址空间分布。将加氢站需求体系布局与候选场址布局进行空间匹配，明确加氢站选址。综合选址的综合评价及建设条件，落实加氢站选址建设时序，针对近中期建设项目形成项目推介清单，推进项目落地。</w:t>
      </w:r>
    </w:p>
    <w:p>
      <w:pPr>
        <w:pStyle w:val="null3"/>
        <w:ind w:firstLine="420"/>
        <w:jc w:val="both"/>
      </w:pPr>
      <w:r>
        <w:rPr>
          <w:sz w:val="24"/>
          <w:b/>
        </w:rPr>
        <w:t>五、工作成果要求</w:t>
      </w:r>
    </w:p>
    <w:p>
      <w:pPr>
        <w:pStyle w:val="null3"/>
        <w:ind w:firstLine="420"/>
        <w:jc w:val="both"/>
      </w:pPr>
      <w:r>
        <w:rPr>
          <w:sz w:val="24"/>
        </w:rPr>
        <w:t>（一）规划成果内容包括但不限于现状分析、政策解读、需求预测、规划方案等有关章节内容。</w:t>
      </w:r>
    </w:p>
    <w:p>
      <w:pPr>
        <w:pStyle w:val="null3"/>
        <w:ind w:firstLine="420"/>
        <w:jc w:val="both"/>
      </w:pPr>
      <w:r>
        <w:rPr>
          <w:sz w:val="24"/>
        </w:rPr>
        <w:t>（二）规划成果包括：规划文本、图纸和附件以及相对应的电子文件。</w:t>
      </w:r>
    </w:p>
    <w:p>
      <w:pPr>
        <w:pStyle w:val="null3"/>
        <w:ind w:firstLine="420"/>
        <w:jc w:val="both"/>
      </w:pPr>
      <w:r>
        <w:rPr>
          <w:sz w:val="24"/>
        </w:rPr>
        <w:t>（三）成果数量根据汇报和审查实际需要提供，成果形式包括纸质文档和电子文档。</w:t>
      </w:r>
    </w:p>
    <w:p>
      <w:pPr>
        <w:pStyle w:val="null3"/>
        <w:ind w:firstLine="420"/>
        <w:jc w:val="both"/>
      </w:pPr>
      <w:r>
        <w:rPr>
          <w:sz w:val="24"/>
        </w:rPr>
        <w:t>（四）文本成果采用WORD和PDF格式文件；图件成果采用JPG和SHP等格式文件，汇报演示文件采用PPT格式。</w:t>
      </w:r>
    </w:p>
    <w:p>
      <w:pPr>
        <w:pStyle w:val="null3"/>
        <w:ind w:firstLine="420"/>
        <w:jc w:val="both"/>
      </w:pPr>
      <w:r>
        <w:rPr>
          <w:sz w:val="24"/>
        </w:rPr>
        <w:t>（五）研究成果应符合国家或本省、市相关的法律、法规、条例、规范、标准等。</w:t>
      </w:r>
    </w:p>
    <w:p>
      <w:pPr>
        <w:pStyle w:val="null3"/>
        <w:ind w:firstLine="420"/>
        <w:jc w:val="both"/>
      </w:pPr>
      <w:r>
        <w:rPr>
          <w:sz w:val="24"/>
          <w:b/>
        </w:rPr>
        <w:t>六、服务期间（项目完成期限）</w:t>
      </w:r>
    </w:p>
    <w:p>
      <w:pPr>
        <w:pStyle w:val="null3"/>
        <w:ind w:firstLine="420"/>
        <w:jc w:val="both"/>
      </w:pPr>
      <w:r>
        <w:rPr>
          <w:sz w:val="24"/>
        </w:rPr>
        <w:t>委托服务期间自______年______月至______年______月止。</w:t>
      </w:r>
    </w:p>
    <w:p>
      <w:pPr>
        <w:pStyle w:val="null3"/>
        <w:ind w:firstLine="420"/>
        <w:jc w:val="both"/>
      </w:pPr>
      <w:r>
        <w:rPr>
          <w:sz w:val="24"/>
          <w:b/>
        </w:rPr>
        <w:t>七、付款方式</w:t>
      </w:r>
    </w:p>
    <w:p>
      <w:pPr>
        <w:pStyle w:val="null3"/>
        <w:ind w:firstLine="420"/>
        <w:jc w:val="both"/>
      </w:pPr>
      <w:r>
        <w:rPr>
          <w:sz w:val="24"/>
        </w:rPr>
        <w:t>1.双方签订项目合同书后10个工作日内，甲方向乙方支付项目中标金额的80%作为本项目的预付款。</w:t>
      </w:r>
    </w:p>
    <w:p>
      <w:pPr>
        <w:pStyle w:val="null3"/>
        <w:ind w:firstLine="420"/>
        <w:jc w:val="both"/>
      </w:pPr>
      <w:r>
        <w:rPr>
          <w:sz w:val="24"/>
        </w:rPr>
        <w:t>2.乙方完成终期成果并通过专家评审之日起10个工作日内，甲方向乙方支付项目中标金额的20%费用。</w:t>
      </w:r>
    </w:p>
    <w:p>
      <w:pPr>
        <w:pStyle w:val="null3"/>
        <w:ind w:firstLine="420"/>
        <w:jc w:val="both"/>
      </w:pPr>
      <w:r>
        <w:rPr>
          <w:sz w:val="24"/>
        </w:rPr>
        <w:t>3.付款方式：采用银行汇付（含电汇）等形式；</w:t>
      </w:r>
    </w:p>
    <w:p>
      <w:pPr>
        <w:pStyle w:val="null3"/>
        <w:ind w:firstLine="420"/>
        <w:jc w:val="both"/>
      </w:pPr>
      <w:r>
        <w:rPr>
          <w:sz w:val="24"/>
        </w:rPr>
        <w:t>4.乙方银行账户信息如下：</w:t>
      </w:r>
    </w:p>
    <w:p>
      <w:pPr>
        <w:pStyle w:val="null3"/>
        <w:ind w:firstLine="420"/>
        <w:jc w:val="both"/>
      </w:pPr>
      <w:r>
        <w:rPr>
          <w:sz w:val="24"/>
        </w:rPr>
        <w:t>乙方开户银行：</w:t>
      </w:r>
    </w:p>
    <w:p>
      <w:pPr>
        <w:pStyle w:val="null3"/>
        <w:ind w:firstLine="420"/>
        <w:jc w:val="both"/>
      </w:pPr>
      <w:r>
        <w:rPr>
          <w:sz w:val="24"/>
        </w:rPr>
        <w:t>账号：</w:t>
      </w:r>
    </w:p>
    <w:p>
      <w:pPr>
        <w:pStyle w:val="null3"/>
        <w:ind w:firstLine="420"/>
        <w:jc w:val="both"/>
      </w:pPr>
      <w:r>
        <w:rPr>
          <w:sz w:val="24"/>
        </w:rPr>
        <w:t>开户名：</w:t>
      </w:r>
    </w:p>
    <w:p>
      <w:pPr>
        <w:pStyle w:val="null3"/>
        <w:ind w:firstLine="420"/>
        <w:jc w:val="both"/>
      </w:pPr>
      <w:r>
        <w:rPr>
          <w:sz w:val="24"/>
        </w:rPr>
        <w:t>5.由于本项目资金来源为财政性资金，须执行相关程序，故上述约定时间为甲方完成向财政部门申请支付的手续的时间，甲方仅负责在上述约定时间内完成申请支付的手续，实际付款到账时间及金额以财政拨付的时间及金额为准，甲方无需承担由此产生的迟延支付责任；在每次支付前，乙方必须向甲方开具与支付费用等额的合法有效的发票，方可办理相关申报支付手续。</w:t>
      </w:r>
    </w:p>
    <w:p>
      <w:pPr>
        <w:pStyle w:val="null3"/>
        <w:ind w:firstLine="420"/>
        <w:jc w:val="both"/>
      </w:pPr>
      <w:r>
        <w:rPr>
          <w:sz w:val="24"/>
          <w:b/>
        </w:rPr>
        <w:t>八、验收要求</w:t>
      </w:r>
    </w:p>
    <w:p>
      <w:pPr>
        <w:pStyle w:val="null3"/>
        <w:ind w:firstLine="420"/>
        <w:jc w:val="both"/>
      </w:pPr>
      <w:r>
        <w:rPr>
          <w:sz w:val="24"/>
        </w:rPr>
        <w:t>双方确定以下列标准和方式对乙方的技术服务工作成果进行验收：</w:t>
      </w:r>
    </w:p>
    <w:p>
      <w:pPr>
        <w:pStyle w:val="null3"/>
        <w:ind w:firstLine="420"/>
        <w:jc w:val="both"/>
      </w:pPr>
      <w:r>
        <w:rPr>
          <w:sz w:val="24"/>
        </w:rPr>
        <w:t>1.乙方完成技术服务工作的形式：依据项目需求和甲方要求提交工作成果。</w:t>
      </w:r>
    </w:p>
    <w:p>
      <w:pPr>
        <w:pStyle w:val="null3"/>
        <w:ind w:firstLine="420"/>
        <w:jc w:val="both"/>
      </w:pPr>
      <w:r>
        <w:rPr>
          <w:sz w:val="24"/>
        </w:rPr>
        <w:t>2.技术服务工作成果的验收标准：成果必须符合行业规范、地方通用标准以及项目需求的要求。</w:t>
      </w:r>
    </w:p>
    <w:p>
      <w:pPr>
        <w:pStyle w:val="null3"/>
        <w:ind w:firstLine="420"/>
        <w:jc w:val="both"/>
      </w:pPr>
      <w:r>
        <w:rPr>
          <w:sz w:val="24"/>
        </w:rPr>
        <w:t>3.技术服务工作成果的验收方法：甲方按照计划组织评审，并在通过评审后，由甲方出具同意结题函并归档。</w:t>
      </w:r>
    </w:p>
    <w:p>
      <w:pPr>
        <w:pStyle w:val="null3"/>
        <w:ind w:firstLine="420"/>
        <w:jc w:val="both"/>
      </w:pPr>
      <w:r>
        <w:rPr>
          <w:sz w:val="24"/>
        </w:rPr>
        <w:t>4.验收的时间和地点：验收时间由甲方另行确定，验收地点在广州市。</w:t>
      </w:r>
    </w:p>
    <w:p>
      <w:pPr>
        <w:pStyle w:val="null3"/>
        <w:ind w:firstLine="420"/>
        <w:jc w:val="both"/>
      </w:pPr>
      <w:r>
        <w:rPr>
          <w:sz w:val="24"/>
          <w:b/>
        </w:rPr>
        <w:t>九、知识产权产权归属</w:t>
      </w:r>
    </w:p>
    <w:p>
      <w:pPr>
        <w:pStyle w:val="null3"/>
        <w:ind w:firstLine="420"/>
        <w:jc w:val="both"/>
      </w:pPr>
      <w:r>
        <w:rPr>
          <w:sz w:val="24"/>
        </w:rPr>
        <w:t>1.甲方享有对本项目成果的全部知识产权；乙方项目组成员享有对本项目成果的署名权。未经甲方同意，乙方及其项目组成员不得公开发表、使用或向任何第三方提供上述项目成果。</w:t>
      </w:r>
    </w:p>
    <w:p>
      <w:pPr>
        <w:pStyle w:val="null3"/>
        <w:ind w:firstLine="420"/>
        <w:jc w:val="both"/>
      </w:pPr>
      <w:r>
        <w:rPr>
          <w:sz w:val="24"/>
        </w:rPr>
        <w:t>2.乙方保证其向甲方提交的项目成果（包括但不限于阶段性成果和最终成果）及乙方为实现该成果所使用的必要方法不侵犯第三人的合法权益。</w:t>
      </w:r>
    </w:p>
    <w:p>
      <w:pPr>
        <w:pStyle w:val="null3"/>
        <w:ind w:firstLine="420"/>
        <w:jc w:val="both"/>
      </w:pPr>
      <w:r>
        <w:rPr>
          <w:sz w:val="24"/>
        </w:rPr>
        <w:t>3.甲方因使用乙方提交的成果被第三人指控侵权、提出异议或权利主张的，乙方应负责解决，并承担由此给甲方造成的一切损失（包括但不限于律师费、诉讼费以及甲方对第三人的赔偿）。任何生效法律文书要求甲方承担责任的，甲方承担责任后，有权向乙方追偿。</w:t>
      </w:r>
    </w:p>
    <w:p>
      <w:pPr>
        <w:pStyle w:val="null3"/>
        <w:ind w:firstLine="420"/>
        <w:jc w:val="both"/>
      </w:pPr>
      <w:r>
        <w:rPr>
          <w:sz w:val="24"/>
          <w:b/>
        </w:rPr>
        <w:t>十、保密</w:t>
      </w:r>
    </w:p>
    <w:p>
      <w:pPr>
        <w:pStyle w:val="null3"/>
        <w:ind w:firstLine="420"/>
        <w:jc w:val="both"/>
      </w:pPr>
      <w:r>
        <w:rPr>
          <w:sz w:val="24"/>
        </w:rPr>
        <w:t>由甲方向乙方提供的采购项目内容、图纸、样品、模型、模件和所有资料，乙方获得后，应对其保密。除非甲方同意，乙方不得向第三方透露或将其用于本次公开招标政府采购以外的任何用途。乙方在甲方要求的时间内须按甲方的要求归还甲方认为需保密的文件和资料，并销毁所有需保密的备份文件和资料。</w:t>
      </w:r>
    </w:p>
    <w:p>
      <w:pPr>
        <w:pStyle w:val="null3"/>
        <w:ind w:firstLine="420"/>
        <w:jc w:val="both"/>
      </w:pPr>
      <w:r>
        <w:rPr>
          <w:sz w:val="24"/>
          <w:b/>
        </w:rPr>
        <w:t>十一、违约责任与赔偿损失</w:t>
      </w:r>
    </w:p>
    <w:p>
      <w:pPr>
        <w:pStyle w:val="null3"/>
        <w:ind w:firstLine="420"/>
        <w:jc w:val="both"/>
      </w:pPr>
      <w:r>
        <w:rPr>
          <w:sz w:val="24"/>
        </w:rPr>
        <w:t>1.甲方未能按合同约定支付委托费用，导致乙方项目工作延误的，乙方完成委托工作的期限相应顺延。甲方付款延期超过日的，乙方有权解除本合同，并要求甲方按委托总费用的%支付违约金。</w:t>
      </w:r>
    </w:p>
    <w:p>
      <w:pPr>
        <w:pStyle w:val="null3"/>
        <w:ind w:firstLine="420"/>
        <w:jc w:val="both"/>
      </w:pPr>
      <w:r>
        <w:rPr>
          <w:sz w:val="24"/>
        </w:rPr>
        <w:t>2.因乙方原因，逾期向甲方交付工作成果的，每迟延一日乙方应当向甲方支付元的违约金；逾期超过日的，甲方有权解除本合同。</w:t>
      </w:r>
    </w:p>
    <w:p>
      <w:pPr>
        <w:pStyle w:val="null3"/>
        <w:ind w:firstLine="420"/>
        <w:jc w:val="both"/>
      </w:pPr>
      <w:r>
        <w:rPr>
          <w:sz w:val="24"/>
        </w:rPr>
        <w:t>3.乙方的工作成果经甲方验收不合格的，甲方有权选择立即解除本合同或选择要求乙方返工。若甲方要求返工的，工期按甲方要求顺延，乙方承担由此而增加的费用，并按委托总费用的  %支付违约金。</w:t>
      </w:r>
    </w:p>
    <w:p>
      <w:pPr>
        <w:pStyle w:val="null3"/>
        <w:ind w:firstLine="420"/>
        <w:jc w:val="both"/>
      </w:pPr>
      <w:r>
        <w:rPr>
          <w:sz w:val="24"/>
        </w:rPr>
        <w:t>4.甲方依照本合同约定解除本合同的，甲方有权不支付剩余的项目委托费用，并要求乙方按委托总费用的  %向甲方支付违约金。乙方应当在收到甲方解除通知之日起三日内，将与本项目工作相关的全部资料交予甲方，并放弃知识产权和所有权相关的一切权利主张。</w:t>
      </w:r>
    </w:p>
    <w:p>
      <w:pPr>
        <w:pStyle w:val="null3"/>
        <w:ind w:firstLine="420"/>
        <w:jc w:val="both"/>
      </w:pPr>
      <w:r>
        <w:rPr>
          <w:sz w:val="24"/>
        </w:rPr>
        <w:t>5.因乙方原因，导致项目工作未能按期完成，或者项目成果未能达到合同约定要求的，乙方应当采取措施尽快完成项目工作或者使项目成果达到合同要求，并承担由此而增加的费用。</w:t>
      </w:r>
    </w:p>
    <w:p>
      <w:pPr>
        <w:pStyle w:val="null3"/>
        <w:ind w:firstLine="420"/>
        <w:jc w:val="both"/>
      </w:pPr>
      <w:r>
        <w:rPr>
          <w:sz w:val="24"/>
        </w:rPr>
        <w:t>6.乙方未经甲方同意，擅自转让项目成果的，应当将转让收益无条件交付给甲方，并按委托总费用的  %向甲方支付违约金。</w:t>
      </w:r>
    </w:p>
    <w:p>
      <w:pPr>
        <w:pStyle w:val="null3"/>
        <w:ind w:firstLine="420"/>
        <w:jc w:val="both"/>
      </w:pPr>
      <w:r>
        <w:rPr>
          <w:sz w:val="24"/>
        </w:rPr>
        <w:t>7.如违约金不足以弥补甲方损失的，乙方应继续承担赔偿责任。</w:t>
      </w:r>
    </w:p>
    <w:p>
      <w:pPr>
        <w:pStyle w:val="null3"/>
        <w:ind w:firstLine="420"/>
        <w:jc w:val="both"/>
      </w:pPr>
      <w:r>
        <w:rPr>
          <w:sz w:val="24"/>
          <w:b/>
        </w:rPr>
        <w:t>十二、争端的解决</w:t>
      </w:r>
    </w:p>
    <w:p>
      <w:pPr>
        <w:pStyle w:val="null3"/>
        <w:ind w:firstLine="420"/>
        <w:jc w:val="both"/>
      </w:pPr>
      <w:r>
        <w:rPr>
          <w:sz w:val="24"/>
        </w:rPr>
        <w:t>合同在履行过程中发生争议的，缔约双方应通过友好协商的方式解决。如协商不成时，缔约双方同意采用以下方式解决争议：向甲方所在地人民法院提起诉讼。</w:t>
      </w:r>
    </w:p>
    <w:p>
      <w:pPr>
        <w:pStyle w:val="null3"/>
        <w:ind w:firstLine="420"/>
        <w:jc w:val="both"/>
      </w:pPr>
      <w:r>
        <w:rPr>
          <w:sz w:val="24"/>
        </w:rPr>
        <w:t>在生效裁决作出之前，双方有义务按照合同要求继续履行本合同。</w:t>
      </w:r>
    </w:p>
    <w:p>
      <w:pPr>
        <w:pStyle w:val="null3"/>
        <w:ind w:firstLine="420"/>
        <w:jc w:val="both"/>
      </w:pPr>
      <w:r>
        <w:rPr>
          <w:sz w:val="24"/>
          <w:b/>
        </w:rPr>
        <w:t>十三、不可抗力：</w:t>
      </w: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rPr>
        <w:t>十四、税费：</w:t>
      </w:r>
      <w:r>
        <w:rPr>
          <w:sz w:val="24"/>
        </w:rPr>
        <w:t>在中国境内、外发生的与本合同执行有关的一切税费均由乙方负担。</w:t>
      </w:r>
    </w:p>
    <w:p>
      <w:pPr>
        <w:pStyle w:val="null3"/>
        <w:ind w:firstLine="420"/>
        <w:jc w:val="both"/>
      </w:pPr>
      <w:r>
        <w:rPr>
          <w:sz w:val="24"/>
          <w:b/>
        </w:rPr>
        <w:t>十五、其它</w:t>
      </w:r>
    </w:p>
    <w:p>
      <w:pPr>
        <w:pStyle w:val="null3"/>
        <w:ind w:firstLine="420"/>
        <w:jc w:val="both"/>
      </w:pPr>
      <w:r>
        <w:rPr>
          <w:sz w:val="24"/>
        </w:rPr>
        <w:t>1) 本合同所有附件、采购文件、投标文件、中标通知书均为合同的有效组成部分，与本合同具有同等法律效力。</w:t>
      </w:r>
    </w:p>
    <w:p>
      <w:pPr>
        <w:pStyle w:val="null3"/>
        <w:ind w:firstLine="420"/>
        <w:jc w:val="both"/>
      </w:pPr>
      <w:r>
        <w:rPr>
          <w:sz w:val="24"/>
        </w:rPr>
        <w:t>2)在执行本合同的过程中，所有经双方签署确认的文件（包括纪要、补充协议、往来信函）即成为本合同的有效组成部分。</w:t>
      </w:r>
    </w:p>
    <w:p>
      <w:pPr>
        <w:pStyle w:val="null3"/>
        <w:ind w:firstLine="420"/>
        <w:jc w:val="both"/>
      </w:pPr>
      <w:r>
        <w:rPr>
          <w:sz w:val="24"/>
        </w:rPr>
        <w:t>3) 如一方地址、电话、传真号码有变更，应在变更当日内书面通知对方，否则，应承担相应责任。</w:t>
      </w:r>
    </w:p>
    <w:p>
      <w:pPr>
        <w:pStyle w:val="null3"/>
        <w:ind w:firstLine="420"/>
        <w:jc w:val="both"/>
      </w:pPr>
      <w:r>
        <w:rPr>
          <w:sz w:val="24"/>
        </w:rPr>
        <w:t>4) 除甲方事先书面同意外，乙方不得部分或全部转让其应履行的合同项下的义务。</w:t>
      </w:r>
    </w:p>
    <w:p>
      <w:pPr>
        <w:pStyle w:val="null3"/>
        <w:ind w:firstLine="420"/>
        <w:jc w:val="both"/>
      </w:pPr>
      <w:r>
        <w:rPr>
          <w:sz w:val="24"/>
          <w:b/>
        </w:rPr>
        <w:t>十六、合同生效：</w:t>
      </w:r>
    </w:p>
    <w:p>
      <w:pPr>
        <w:pStyle w:val="null3"/>
        <w:ind w:firstLine="420"/>
        <w:jc w:val="both"/>
      </w:pPr>
      <w:r>
        <w:rPr>
          <w:sz w:val="24"/>
        </w:rPr>
        <w:t>1）本合同自甲乙双方法定代表人或授权代表签字并加盖公章之日起生效。</w:t>
      </w:r>
    </w:p>
    <w:p>
      <w:pPr>
        <w:pStyle w:val="null3"/>
        <w:ind w:firstLine="420"/>
        <w:jc w:val="both"/>
      </w:pPr>
      <w:r>
        <w:rPr>
          <w:sz w:val="24"/>
        </w:rPr>
        <w:t>2）合同一式</w:t>
      </w:r>
      <w:r>
        <w:rPr>
          <w:sz w:val="24"/>
          <w:u w:val="single"/>
        </w:rPr>
        <w:t xml:space="preserve">      </w:t>
      </w:r>
      <w:r>
        <w:rPr>
          <w:sz w:val="24"/>
        </w:rPr>
        <w:t>份，双方各持</w:t>
      </w:r>
      <w:r>
        <w:rPr>
          <w:sz w:val="24"/>
          <w:u w:val="single"/>
        </w:rPr>
        <w:t xml:space="preserve">      </w:t>
      </w:r>
      <w:r>
        <w:rPr>
          <w:sz w:val="24"/>
        </w:rPr>
        <w:t>份，其中采购代理机构一份。</w:t>
      </w:r>
    </w:p>
    <w:p>
      <w:pPr>
        <w:pStyle w:val="null3"/>
        <w:jc w:val="both"/>
      </w:pPr>
      <w:r>
        <w:rPr>
          <w:sz w:val="24"/>
          <w:b/>
        </w:rPr>
        <w:t>甲方（盖章）：                           乙方（盖章）：</w:t>
      </w:r>
    </w:p>
    <w:p>
      <w:pPr>
        <w:pStyle w:val="null3"/>
        <w:jc w:val="both"/>
      </w:pPr>
      <w:r>
        <w:rPr>
          <w:sz w:val="24"/>
          <w:b/>
        </w:rPr>
        <w:t>代表：                                      代表：</w:t>
      </w:r>
    </w:p>
    <w:p>
      <w:pPr>
        <w:pStyle w:val="null3"/>
        <w:jc w:val="both"/>
      </w:pPr>
      <w:r>
        <w:rPr>
          <w:sz w:val="24"/>
        </w:rPr>
        <w:t>签定地点：</w:t>
      </w:r>
    </w:p>
    <w:p>
      <w:pPr>
        <w:pStyle w:val="null3"/>
        <w:jc w:val="both"/>
      </w:pPr>
      <w:r>
        <w:rPr>
          <w:sz w:val="24"/>
        </w:rPr>
        <w:t>签定日期：  年   月    日                     签定日期：</w:t>
      </w:r>
      <w:r>
        <w:rPr>
          <w:sz w:val="24"/>
        </w:rPr>
        <w:t xml:space="preserve">  年   月    日</w:t>
      </w:r>
    </w:p>
    <w:p>
      <w:pPr>
        <w:pStyle w:val="null3"/>
        <w:jc w:val="both"/>
      </w:pPr>
      <w:r>
        <w:rPr>
          <w:sz w:val="24"/>
        </w:rPr>
        <w:t xml:space="preserve">                                                        开户名称：</w:t>
      </w:r>
    </w:p>
    <w:p>
      <w:pPr>
        <w:pStyle w:val="null3"/>
        <w:jc w:val="both"/>
      </w:pPr>
      <w:r>
        <w:rPr>
          <w:sz w:val="24"/>
        </w:rPr>
        <w:t xml:space="preserve">                                                        </w:t>
      </w:r>
      <w:r>
        <w:rPr>
          <w:sz w:val="24"/>
        </w:rPr>
        <w:t>银行帐号：</w:t>
      </w:r>
    </w:p>
    <w:p>
      <w:pPr>
        <w:pStyle w:val="null3"/>
        <w:jc w:val="both"/>
      </w:pPr>
      <w:r>
        <w:rPr>
          <w:sz w:val="24"/>
        </w:rPr>
        <w:t xml:space="preserve">                                                        </w:t>
      </w: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440101-2024-16626</w:t>
      </w:r>
    </w:p>
    <w:p>
      <w:pPr>
        <w:pStyle w:val="null3"/>
        <w:jc w:val="center"/>
        <w:outlineLvl w:val="3"/>
      </w:pPr>
      <w:r>
        <w:rPr>
          <w:sz w:val="24"/>
          <w:b/>
        </w:rPr>
        <w:t>采购项目编号：</w:t>
      </w:r>
      <w:r>
        <w:rPr>
          <w:sz w:val="24"/>
          <w:b/>
        </w:rPr>
        <w:t>GZCQC2400FG07018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广州市氢能基础设施建设项目推介清单</w:t>
      </w:r>
      <w:r>
        <w:rPr>
          <w:u w:val="single"/>
        </w:rPr>
        <w:t>”</w:t>
      </w:r>
      <w:r>
        <w:rPr/>
        <w:t>项目的招标[采购项目编号为：</w:t>
      </w:r>
      <w:r>
        <w:rPr>
          <w:u w:val="single"/>
        </w:rPr>
        <w:t>GZCQC2400FG07018</w:t>
      </w:r>
      <w:r>
        <w:rPr/>
        <w:t>]，我方愿参与投标。</w:t>
      </w:r>
    </w:p>
    <w:p>
      <w:pPr>
        <w:pStyle w:val="null3"/>
        <w:ind w:firstLine="480"/>
      </w:pPr>
      <w:r>
        <w:rPr/>
        <w:t>我方确认收到贵方提供的</w:t>
      </w:r>
      <w:r>
        <w:rPr>
          <w:u w:val="single"/>
        </w:rPr>
        <w:t>“</w:t>
      </w:r>
      <w:r>
        <w:rPr>
          <w:u w:val="single"/>
        </w:rPr>
        <w:t>广州市氢能基础设施建设项目推介清单</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广州市氢能基础设施建设项目推介清单</w:t>
      </w:r>
      <w:r>
        <w:rPr/>
        <w:t>”项目采购[采购项目编号为</w:t>
      </w:r>
      <w:r>
        <w:rPr/>
        <w:t>GZCQC2400FG07018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广州市发展和改革委员会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广州市氢能基础设施建设项目推介清单</w:t>
      </w:r>
      <w:r>
        <w:rPr/>
        <w:t>招标中获中标（采购项目编号：</w:t>
      </w:r>
      <w:r>
        <w:rPr/>
        <w:t>GZCQC2400FG07018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