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440112-2024-03719</w:t>
      </w:r>
    </w:p>
    <w:p>
      <w:pPr>
        <w:pStyle w:val="null3"/>
        <w:jc w:val="center"/>
        <w:outlineLvl w:val="3"/>
      </w:pPr>
      <w:r>
        <w:rPr>
          <w:sz w:val="24"/>
          <w:b/>
        </w:rPr>
        <w:t>采购项目编号：</w:t>
      </w:r>
      <w:r>
        <w:rPr>
          <w:sz w:val="24"/>
          <w:b/>
        </w:rPr>
        <w:t>GZCQC2400FG07020</w:t>
      </w:r>
    </w:p>
    <w:p>
      <w:pPr>
        <w:pStyle w:val="null3"/>
        <w:jc w:val="center"/>
        <w:outlineLvl w:val="3"/>
      </w:pPr>
      <w:r>
        <w:rPr>
          <w:sz w:val="24"/>
          <w:b/>
        </w:rPr>
        <w:t>项目名称：</w:t>
      </w:r>
      <w:r>
        <w:rPr>
          <w:sz w:val="24"/>
          <w:b/>
        </w:rPr>
        <w:t>黄埔区“百千万工程”土地整治政策机制研究及全区永久基本农田布局优化工作</w:t>
      </w:r>
    </w:p>
    <w:p>
      <w:pPr>
        <w:pStyle w:val="null3"/>
        <w:jc w:val="center"/>
        <w:outlineLvl w:val="3"/>
      </w:pPr>
      <w:r>
        <w:rPr>
          <w:sz w:val="24"/>
          <w:b/>
        </w:rPr>
        <w:t>采购人：</w:t>
      </w:r>
      <w:r>
        <w:rPr>
          <w:sz w:val="24"/>
          <w:b/>
        </w:rPr>
        <w:t>广州开发区城市规划信息编研中心</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广州开发区城市规划信息编研中心</w:t>
      </w:r>
      <w:r>
        <w:rPr/>
        <w:t>的委托，采用</w:t>
      </w:r>
      <w:r>
        <w:rPr/>
        <w:t>公开招标</w:t>
      </w:r>
      <w:r>
        <w:rPr/>
        <w:t>方式组织采购</w:t>
      </w:r>
      <w:r>
        <w:rPr/>
        <w:t>黄埔区“百千万工程”土地整治政策机制研究及全区永久基本农田布局优化工作</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黄埔区“百千万工程”土地整治政策机制研究及全区永久基本农田布局优化工作</w:t>
      </w:r>
    </w:p>
    <w:p>
      <w:pPr>
        <w:pStyle w:val="null3"/>
        <w:ind w:firstLine="480"/>
      </w:pPr>
      <w:r>
        <w:rPr/>
        <w:t>采购计划编号：</w:t>
      </w:r>
      <w:r>
        <w:rPr/>
        <w:t>440112-2024-03719</w:t>
      </w:r>
    </w:p>
    <w:p>
      <w:pPr>
        <w:pStyle w:val="null3"/>
        <w:ind w:firstLine="480"/>
      </w:pPr>
      <w:r>
        <w:rPr/>
        <w:t>采购项目编号：</w:t>
      </w:r>
      <w:r>
        <w:rPr/>
        <w:t>GZCQC2400FG07020</w:t>
      </w:r>
    </w:p>
    <w:p>
      <w:pPr>
        <w:pStyle w:val="null3"/>
        <w:ind w:firstLine="480"/>
      </w:pPr>
      <w:r>
        <w:rPr/>
        <w:t>采购方式：</w:t>
      </w:r>
      <w:r>
        <w:rPr/>
        <w:t>公开招标</w:t>
      </w:r>
    </w:p>
    <w:p>
      <w:pPr>
        <w:pStyle w:val="null3"/>
        <w:ind w:firstLine="480"/>
      </w:pPr>
      <w:r>
        <w:rPr/>
        <w:t>预算金额：</w:t>
      </w:r>
      <w:r>
        <w:rPr/>
        <w:t>2,700,000.00</w:t>
      </w:r>
      <w:r>
        <w:rPr/>
        <w:t>元</w:t>
      </w:r>
    </w:p>
    <w:p>
      <w:pPr>
        <w:pStyle w:val="null3"/>
        <w:outlineLvl w:val="3"/>
      </w:pPr>
      <w:r>
        <w:rPr>
          <w:sz w:val="24"/>
          <w:b/>
        </w:rPr>
        <w:t>2.项目内容及需求情况（采购项目技术规格、参数及要求）</w:t>
      </w:r>
    </w:p>
    <w:p>
      <w:pPr>
        <w:pStyle w:val="null3"/>
      </w:pPr>
      <w:r>
        <w:rPr/>
        <w:t>采购包1(黄埔区“百千万工程”土地整治政策机制研究及全区永久基本农田布局优化工作):</w:t>
      </w:r>
    </w:p>
    <w:p>
      <w:pPr>
        <w:pStyle w:val="null3"/>
      </w:pPr>
      <w:r>
        <w:rPr/>
        <w:t>采购包预算金额：2,700,000.00元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区域规划和设计服务</w:t>
            </w:r>
          </w:p>
        </w:tc>
        <w:tc>
          <w:tcPr>
            <w:tcW w:type="dxa" w:w="2136"/>
          </w:tcPr>
          <w:p>
            <w:pPr>
              <w:pStyle w:val="null3"/>
            </w:pPr>
            <w:r>
              <w:rPr/>
              <w:t>黄埔区“百千万工程”土地整治政策机制研究及全区永久基本农田布局优化工作</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合同履行期限：本项目工作期限为合同签订之日起两年。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采购包1（黄埔区“百千万工程”土地整治政策机制研究及全区永久基本农田布局优化工作）：</w:t>
      </w:r>
      <w:r>
        <w:rPr/>
        <w:t>根据《广东省政府采购促进中小企业发展实施细则》（试行）的规定，本采购包符合“面向中小企业预留采购份额无法确保充分供应、充分竞争，或者存在可能影响政府采购目标实现的情形”，本采购包不属于专门面向中小企业采购。 本采购包的所属行业为“其他未列明行业”，请按该行业划分标准进行中小企业声明。</w:t>
      </w:r>
    </w:p>
    <w:p>
      <w:pPr>
        <w:pStyle w:val="null3"/>
        <w:outlineLvl w:val="3"/>
      </w:pPr>
      <w:r>
        <w:rPr>
          <w:sz w:val="24"/>
          <w:b/>
        </w:rPr>
        <w:t>3.本项目特定的资格要求：</w:t>
      </w:r>
    </w:p>
    <w:p>
      <w:pPr>
        <w:pStyle w:val="null3"/>
      </w:pPr>
      <w:r>
        <w:rPr/>
        <w:t>采购包1（黄埔区“百千万工程”土地整治政策机制研究及全区永久基本农田布局优化工作）：</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w:t>
      </w:r>
    </w:p>
    <w:p>
      <w:pPr>
        <w:pStyle w:val="null3"/>
      </w:pPr>
      <w:r>
        <w:rPr/>
        <w:t>5)投标人具有城乡规划编制甲级资质。（提供证书复印件，根据自然资办函〔2023〕2717号文的规定，有效期至2023年12月31日的城乡规划编制单位甲级资质证书，有效期延长至2025年12月31日。如相关主管部门有最新政策，按最新政策执行）</w:t>
      </w:r>
    </w:p>
    <w:p>
      <w:pPr>
        <w:pStyle w:val="null3"/>
      </w:pPr>
      <w:r>
        <w:rPr/>
        <w:t>6)本项目不接受联合体投标。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广州开发区城市规划信息编研中心</w:t>
      </w:r>
    </w:p>
    <w:p>
      <w:pPr>
        <w:pStyle w:val="null3"/>
        <w:ind w:firstLine="480"/>
      </w:pPr>
      <w:r>
        <w:rPr/>
        <w:t xml:space="preserve"> 地址：</w:t>
      </w:r>
      <w:r>
        <w:rPr/>
        <w:t>广州市黄埔区汇星路81号C栋</w:t>
      </w:r>
    </w:p>
    <w:p>
      <w:pPr>
        <w:pStyle w:val="null3"/>
        <w:ind w:firstLine="480"/>
      </w:pPr>
      <w:r>
        <w:rPr/>
        <w:t xml:space="preserve"> 联系方式：</w:t>
      </w:r>
      <w:r>
        <w:rPr/>
        <w:t>020-82509713</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1.投标人须对本项目为单位的服务进行整体响应，任何只对其中一部分内容进行的响应都被视为无效响应。</w:t>
      </w:r>
    </w:p>
    <w:p>
      <w:pPr>
        <w:pStyle w:val="null3"/>
        <w:ind w:firstLine="480"/>
        <w:jc w:val="both"/>
      </w:pPr>
      <w:r>
        <w:rPr>
          <w:sz w:val="24"/>
        </w:rPr>
        <w:t>2.采购需求中打“★”号条款为实质性条款，投标人如有任何一条负偏离则导致投标无效。</w:t>
      </w:r>
    </w:p>
    <w:p>
      <w:pPr>
        <w:pStyle w:val="null3"/>
        <w:ind w:firstLine="480"/>
        <w:jc w:val="both"/>
      </w:pPr>
      <w:r>
        <w:rPr>
          <w:sz w:val="24"/>
        </w:rPr>
        <w:t>3.承接本项目的单位被视为承认本采购需求书所有条款，并按采购需求书规定的条款完成相关工作。</w:t>
      </w:r>
    </w:p>
    <w:p>
      <w:pPr>
        <w:pStyle w:val="null3"/>
        <w:ind w:firstLine="480"/>
        <w:jc w:val="both"/>
      </w:pPr>
      <w:r>
        <w:rPr>
          <w:sz w:val="24"/>
        </w:rPr>
        <w:t>4.中标人为本项目配置技术服务团队，其中：</w:t>
      </w:r>
    </w:p>
    <w:p>
      <w:pPr>
        <w:pStyle w:val="null3"/>
        <w:ind w:firstLine="480"/>
        <w:jc w:val="both"/>
      </w:pPr>
      <w:r>
        <w:rPr>
          <w:sz w:val="24"/>
        </w:rPr>
        <w:t>（1）项目负责人（1人）需具有城市（乡）规划专业正高级工程师职称证书（或以上）；</w:t>
      </w:r>
    </w:p>
    <w:p>
      <w:pPr>
        <w:pStyle w:val="null3"/>
        <w:ind w:firstLine="480"/>
        <w:jc w:val="both"/>
      </w:pPr>
      <w:r>
        <w:rPr>
          <w:sz w:val="24"/>
        </w:rPr>
        <w:t>（2）技术团队成员（每个专业不少于1人）需涵盖城市（乡）规划、测绘类专业、国土类等相关专业的中级工程师（或以上）职称证书。</w:t>
      </w:r>
    </w:p>
    <w:p>
      <w:pPr>
        <w:pStyle w:val="null3"/>
        <w:ind w:firstLine="482"/>
        <w:jc w:val="both"/>
      </w:pPr>
      <w:r>
        <w:rPr>
          <w:sz w:val="24"/>
          <w:b/>
        </w:rPr>
        <w:t>（注：以上为满足本项目服务要求的最低标准，中标人可以提供更多满足或高于采购人所要求的技术水平和资历的技术人员。）</w:t>
      </w:r>
    </w:p>
    <w:p>
      <w:pPr>
        <w:pStyle w:val="null3"/>
        <w:ind w:firstLine="480"/>
        <w:jc w:val="both"/>
      </w:pPr>
      <w:r>
        <w:rPr>
          <w:sz w:val="24"/>
        </w:rPr>
        <w:t>5.中标人对本招标项目后续服务响应时间为自接到通知1小时（含）-3小时（含）内响应。</w:t>
      </w:r>
    </w:p>
    <w:p>
      <w:pPr>
        <w:pStyle w:val="null3"/>
        <w:ind w:firstLine="480"/>
        <w:jc w:val="both"/>
      </w:pPr>
      <w:r>
        <w:rPr>
          <w:sz w:val="24"/>
        </w:rPr>
        <w:t>6.中标人应制定详尽的工作计划，包括但不限于：①对项目开展目的及意义的理解、②对项目技术思路、技术方案、③工作重点、关键问题的分析与把握、④成果形式，包括内容深度、材料完整性、规划文本、技术图纸、汇报文件等内容、⑤项目组织、进度安排、时间点控制，组织实施计划等。全面落实执行并完成项目任务及相关工作内容。</w:t>
      </w:r>
    </w:p>
    <w:p>
      <w:pPr>
        <w:pStyle w:val="null3"/>
        <w:ind w:firstLine="480"/>
        <w:jc w:val="both"/>
      </w:pPr>
      <w:r>
        <w:rPr>
          <w:sz w:val="24"/>
        </w:rPr>
        <w:t>7.项目采购预算（最高限价）：人民币270.00万元（其中2024年度安排预算81万元，2025年预算以财政局实际批复为准），凡超出最高限价的，一律视为无效投标。报价应含成果文本印刷费、税费以及现场查勘、交通、会议等完成本项目所需的全部费用。</w:t>
      </w:r>
    </w:p>
    <w:p>
      <w:pPr>
        <w:pStyle w:val="null3"/>
        <w:ind w:firstLine="480"/>
        <w:jc w:val="both"/>
      </w:pPr>
      <w:r>
        <w:rPr/>
        <w:t>采购包1（黄埔区“百千万工程”土地整治政策机制研究及全区永久基本农田布局优化工作）</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本项目工作期限为合同签订之日起两年。</w:t>
            </w:r>
          </w:p>
        </w:tc>
      </w:tr>
      <w:tr>
        <w:tc>
          <w:tcPr>
            <w:tcW w:type="dxa" w:w="4153"/>
          </w:tcPr>
          <w:p>
            <w:pPr>
              <w:pStyle w:val="null3"/>
            </w:pPr>
            <w:r>
              <w:rPr/>
              <w:t>标的提供的地点</w:t>
            </w:r>
          </w:p>
        </w:tc>
        <w:tc>
          <w:tcPr>
            <w:tcW w:type="dxa" w:w="4153"/>
          </w:tcPr>
          <w:p>
            <w:pPr>
              <w:pStyle w:val="null3"/>
            </w:pPr>
            <w:r>
              <w:rPr/>
              <w:t>广州市</w:t>
            </w:r>
          </w:p>
        </w:tc>
      </w:tr>
      <w:tr>
        <w:tc>
          <w:tcPr>
            <w:tcW w:type="dxa" w:w="4153"/>
          </w:tcPr>
          <w:p>
            <w:pPr>
              <w:pStyle w:val="null3"/>
            </w:pPr>
            <w:r>
              <w:rPr/>
              <w:t>付款方式</w:t>
            </w:r>
          </w:p>
        </w:tc>
        <w:tc>
          <w:tcPr>
            <w:tcW w:type="dxa" w:w="4153"/>
          </w:tcPr>
          <w:p>
            <w:pPr>
              <w:pStyle w:val="null3"/>
            </w:pPr>
            <w:r>
              <w:rPr/>
              <w:t>1期：支付比例30%,合同签订后，在收到发票后5个工作日内按照《广州市本级财政直接支付用款申请办事指南》办理支付手续，支付项目合同总额的30%。</w:t>
            </w:r>
          </w:p>
          <w:p>
            <w:pPr>
              <w:pStyle w:val="null3"/>
            </w:pPr>
            <w:r>
              <w:rPr/>
              <w:t>2期：支付比例20%,项目通过专家评审会或局业务会审查后，在收到发票后5个工作日内按照《广州市本级财政直接支付用款申请办事指南》办理支付手续，由中标人向采购人申请支付项目合同总额的20%。</w:t>
            </w:r>
          </w:p>
          <w:p>
            <w:pPr>
              <w:pStyle w:val="null3"/>
            </w:pPr>
            <w:r>
              <w:rPr/>
              <w:t>3期：支付比例30%,项目通过局党组会或上级主管部门审查后，在收到发票后5个工作日内按照《广州市本级财政直接支付用款申请办事指南》办理支付手续，由中标人向采购人申请支付项目合同总额的 30%。</w:t>
            </w:r>
          </w:p>
          <w:p>
            <w:pPr>
              <w:pStyle w:val="null3"/>
            </w:pPr>
            <w:r>
              <w:rPr/>
              <w:t>4期：支付比例20%,项目通过采购人验收结题或印发实施或取得批复后，在收到发票后5个工作日内按照《广州市本级财政直接支付用款申请办事指南》办理文付手续，由中标人向采购人申请支付项目合同的剩余款项。 注： 根据《广东省自然资源厅关于进一步明确全域土地综合整治永久基本农田布局调整方案编制、审查和报备有关事项的通知（征求意见稿）》等相关政策文件，永久基本农田布局调整方案应当随全域土地综合整治项目实施方案一并逐级上报审查备案。根据调整方案具体程序收款节点设置。 上述支付指采购人在收到中标人提供付款所需资料后在规定时间内向黄埔区财政局提交财政直接支付申请，具体付款时间以黄埔区财政局具体拨款时间为准。采购人付款前，中标人应向采购人提供合法有效的等额发票，否则采购人有权拒绝付款而不构成违约。</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1期：双方确定以下列标准和方式对中标人的技术服务工作成果进行验收： 1.中标人完成技术服务工作的形式：依据项目需求和采购人要求提交工作成果。 2.技术服务工作成果的验收标准：成果必须符合国家及省、市现行有效的相关规定、技术标准、管理标准和设计规范及本需求中工作内容要求等有关章节的规定。 3.技术服务工作成果的验收方法：通过相关审批部门组织的验收。 4.验收的时间和地点：验收时间由采购人另行确定，验收地点在广州市。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区域规划和设计服务</w:t>
            </w:r>
          </w:p>
        </w:tc>
        <w:tc>
          <w:tcPr>
            <w:tcW w:type="dxa" w:w="933"/>
          </w:tcPr>
          <w:p>
            <w:pPr>
              <w:pStyle w:val="null3"/>
              <w:jc w:val="left"/>
            </w:pPr>
            <w:r>
              <w:rPr/>
              <w:t>黄埔区“百千万工程”土地整治政策机制研究及全区永久基本农田布局优化工作</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2,700,000.00</w:t>
            </w:r>
          </w:p>
        </w:tc>
        <w:tc>
          <w:tcPr>
            <w:tcW w:type="dxa" w:w="933"/>
          </w:tcPr>
          <w:p>
            <w:pPr>
              <w:pStyle w:val="null3"/>
              <w:jc w:val="right"/>
            </w:pPr>
            <w:r>
              <w:rPr/>
              <w:t>2,700,000.00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黄埔区“百千万工程”土地整治政策机制研究及全区永久基本农田布局优化工作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一、工作背景</w:t>
            </w:r>
          </w:p>
          <w:p>
            <w:pPr>
              <w:pStyle w:val="null3"/>
              <w:ind w:firstLine="422"/>
              <w:jc w:val="both"/>
            </w:pPr>
            <w:r>
              <w:rPr>
                <w:sz w:val="24"/>
              </w:rPr>
              <w:t>为破解乡村发展用地难题，加快城乡融合发展，增强乡村规划引领效能，国家层面连续五年将全域土地综合整治写进中央一号文件，总书记对“千万工程”多次作出批示，要求各地区和有关部门坚持新发展理念，因地制宜、分类施策，加快城乡融合发展步伐，继续积极推动美丽中国建设，全面推进乡村振兴。</w:t>
            </w:r>
          </w:p>
          <w:p>
            <w:pPr>
              <w:pStyle w:val="null3"/>
              <w:ind w:firstLine="422"/>
              <w:jc w:val="both"/>
            </w:pPr>
            <w:r>
              <w:rPr>
                <w:sz w:val="24"/>
              </w:rPr>
              <w:t>对此，广东省委作出重要部署，要求加快推进全域土地综合整治，并将其作为推进“百千万工程”的重要抓手、全省推动高质量发展的头号工程、落实黄坤明书记“以钉钉子精神抓落实，把手中的施工图转化为大地的实景画”的重要途径。</w:t>
            </w:r>
          </w:p>
          <w:p>
            <w:pPr>
              <w:pStyle w:val="null3"/>
              <w:ind w:firstLine="422"/>
              <w:jc w:val="left"/>
            </w:pPr>
            <w:r>
              <w:rPr>
                <w:sz w:val="24"/>
              </w:rPr>
              <w:t>2024年3月省自然资源厅印发了《广东省自然资源厅关于推进全域土地综合整治扩面提质的通知》，明确了2024年全域土地综合整治工作方向，重点提出要加大试点政策支持力度，扎实做好国家级、省级试点工作。黄埔区以“一年初见成效，三年显著变化，五年全部完成”为目标，积极探索全域土地综合整治的黄埔样本，优化永久基本农田布局，构建黄埔土地利用新格局。目前工作重心已从区层面向街镇层面分解与传导，需进一步完善整治体系、整治格局搭建，完成全区专项整治任务。面向街镇实施层面的诸多政策堵点开展创新政策研究。</w:t>
            </w:r>
          </w:p>
        </w:tc>
      </w:tr>
      <w:tr>
        <w:tc>
          <w:tcPr>
            <w:tcW w:type="dxa" w:w="2076"/>
          </w:tcPr>
          <w:p/>
        </w:tc>
        <w:tc>
          <w:tcPr>
            <w:tcW w:type="dxa" w:w="415"/>
          </w:tcPr>
          <w:p>
            <w:pPr>
              <w:pStyle w:val="null3"/>
            </w:pPr>
            <w:r>
              <w:rPr/>
              <w:t>2</w:t>
            </w:r>
          </w:p>
        </w:tc>
        <w:tc>
          <w:tcPr>
            <w:tcW w:type="dxa" w:w="5814"/>
          </w:tcPr>
          <w:p>
            <w:pPr>
              <w:pStyle w:val="null3"/>
              <w:jc w:val="both"/>
            </w:pPr>
            <w:r>
              <w:rPr>
                <w:sz w:val="24"/>
                <w:b/>
              </w:rPr>
              <w:t>二、工作必要性</w:t>
            </w:r>
          </w:p>
          <w:p>
            <w:pPr>
              <w:pStyle w:val="null3"/>
              <w:ind w:firstLine="424"/>
              <w:jc w:val="both"/>
            </w:pPr>
            <w:r>
              <w:rPr>
                <w:sz w:val="24"/>
                <w:b/>
              </w:rPr>
              <w:t>1.衔接省市政策</w:t>
            </w:r>
          </w:p>
          <w:p>
            <w:pPr>
              <w:pStyle w:val="null3"/>
              <w:ind w:firstLine="422"/>
              <w:jc w:val="both"/>
            </w:pPr>
            <w:r>
              <w:rPr>
                <w:sz w:val="24"/>
              </w:rPr>
              <w:t>根据区“百千万工程”指挥部办公室工作会议要求，需积极对接省市土地管制、项目融资、项目实施“三个窗口期”，全面推进黄埔区全域土地综合整治工作，完善政策体系对下传导路径，指导街镇实施开发边界、永久基本农田优化调整，保障新质生产力导入；探索全域土地综合整治、“百千万工程”实施的黄埔路径，争取省级重点项目、精品工程，打造黄埔样本，在全省树立标杆作用。</w:t>
            </w:r>
          </w:p>
          <w:p>
            <w:pPr>
              <w:pStyle w:val="null3"/>
              <w:ind w:firstLine="424"/>
              <w:jc w:val="both"/>
            </w:pPr>
            <w:r>
              <w:rPr>
                <w:sz w:val="24"/>
                <w:b/>
              </w:rPr>
              <w:t>2.激励主体参与</w:t>
            </w:r>
          </w:p>
          <w:p>
            <w:pPr>
              <w:pStyle w:val="null3"/>
              <w:ind w:firstLine="422"/>
              <w:jc w:val="both"/>
            </w:pPr>
            <w:r>
              <w:rPr>
                <w:sz w:val="24"/>
              </w:rPr>
              <w:t>受限于土地整治项目在利益分配、资金整合等方面存在的问题，当前各实施主体积极性不高，街镇耕地恢复责任压力大。为激活项目实施主体参与的积极性，强化耕地保护及农用地整理、建设用地整理、历史文化保护力度，需进一步完善奖励机制。</w:t>
            </w:r>
          </w:p>
          <w:p>
            <w:pPr>
              <w:pStyle w:val="null3"/>
              <w:ind w:firstLine="424"/>
              <w:jc w:val="both"/>
            </w:pPr>
            <w:r>
              <w:rPr>
                <w:sz w:val="24"/>
                <w:b/>
              </w:rPr>
              <w:t>3.保障项目实施</w:t>
            </w:r>
          </w:p>
          <w:p>
            <w:pPr>
              <w:pStyle w:val="null3"/>
              <w:ind w:firstLine="422"/>
              <w:jc w:val="left"/>
            </w:pPr>
            <w:r>
              <w:rPr>
                <w:sz w:val="24"/>
              </w:rPr>
              <w:t>全域土地综合整治项目实施面临耕地恢复周期长、土地整理难度大、用地要素保障难等问题，需针对当前全域整治项目实施的痛点、难点、堵点，结合区内审批权限与行政管理要求，创新政策制度，拓宽资金来源，为项目实施落地保驾护航。</w:t>
            </w:r>
          </w:p>
        </w:tc>
      </w:tr>
      <w:tr>
        <w:tc>
          <w:tcPr>
            <w:tcW w:type="dxa" w:w="2076"/>
          </w:tcPr>
          <w:p/>
        </w:tc>
        <w:tc>
          <w:tcPr>
            <w:tcW w:type="dxa" w:w="415"/>
          </w:tcPr>
          <w:p>
            <w:pPr>
              <w:pStyle w:val="null3"/>
            </w:pPr>
            <w:r>
              <w:rPr/>
              <w:t>3</w:t>
            </w:r>
          </w:p>
        </w:tc>
        <w:tc>
          <w:tcPr>
            <w:tcW w:type="dxa" w:w="5814"/>
          </w:tcPr>
          <w:p>
            <w:pPr>
              <w:pStyle w:val="null3"/>
              <w:jc w:val="both"/>
            </w:pPr>
            <w:r>
              <w:rPr>
                <w:sz w:val="24"/>
                <w:b/>
              </w:rPr>
              <w:t>三、工作目标</w:t>
            </w:r>
          </w:p>
          <w:p>
            <w:pPr>
              <w:pStyle w:val="null3"/>
              <w:ind w:firstLine="422"/>
              <w:jc w:val="left"/>
            </w:pPr>
            <w:r>
              <w:rPr>
                <w:sz w:val="24"/>
              </w:rPr>
              <w:t>创新编制黄埔区全域土地综合整治系列创新机制及相关规范文件，指导相关工作开展；构建包括政策研究报告、工作指引、实施细则等黄埔区全域土地综合整治配套政策体系，形成可推广的政策创新机制；编制永久基本农田调整方案，保障黄埔区全域工作顺利推进。</w:t>
            </w:r>
          </w:p>
        </w:tc>
      </w:tr>
      <w:tr>
        <w:tc>
          <w:tcPr>
            <w:tcW w:type="dxa" w:w="2076"/>
          </w:tcPr>
          <w:p/>
        </w:tc>
        <w:tc>
          <w:tcPr>
            <w:tcW w:type="dxa" w:w="415"/>
          </w:tcPr>
          <w:p>
            <w:pPr>
              <w:pStyle w:val="null3"/>
            </w:pPr>
            <w:r>
              <w:rPr/>
              <w:t>4</w:t>
            </w:r>
          </w:p>
        </w:tc>
        <w:tc>
          <w:tcPr>
            <w:tcW w:type="dxa" w:w="5814"/>
          </w:tcPr>
          <w:p>
            <w:pPr>
              <w:pStyle w:val="null3"/>
              <w:jc w:val="both"/>
            </w:pPr>
            <w:r>
              <w:rPr>
                <w:sz w:val="24"/>
                <w:b/>
              </w:rPr>
              <w:t>四、工作内容</w:t>
            </w:r>
          </w:p>
          <w:p>
            <w:pPr>
              <w:pStyle w:val="null3"/>
              <w:ind w:firstLine="422"/>
              <w:jc w:val="both"/>
            </w:pPr>
            <w:r>
              <w:rPr>
                <w:sz w:val="24"/>
              </w:rPr>
              <w:t>本项目的主要工作内容包括以下两部分：一是黄埔区“百千万工程”政策机制研究，二是全区永久基本农田布局优化工作。</w:t>
            </w:r>
          </w:p>
          <w:p>
            <w:pPr>
              <w:pStyle w:val="null3"/>
              <w:ind w:firstLine="424"/>
              <w:jc w:val="both"/>
            </w:pPr>
            <w:r>
              <w:rPr>
                <w:sz w:val="24"/>
                <w:b/>
              </w:rPr>
              <w:t>（一）黄埔区“百千万工程”政策机制研究</w:t>
            </w:r>
          </w:p>
          <w:p>
            <w:pPr>
              <w:pStyle w:val="null3"/>
              <w:ind w:firstLine="422"/>
              <w:jc w:val="both"/>
            </w:pPr>
            <w:r>
              <w:rPr>
                <w:sz w:val="24"/>
              </w:rPr>
              <w:t>1.黄埔区“百千万工程”政策体系构建暨政策指引文件编制</w:t>
            </w:r>
          </w:p>
          <w:p>
            <w:pPr>
              <w:pStyle w:val="null3"/>
              <w:ind w:firstLine="422"/>
              <w:jc w:val="both"/>
            </w:pPr>
            <w:r>
              <w:rPr>
                <w:sz w:val="24"/>
              </w:rPr>
              <w:t>一是开展黄埔区全域土地综合整治创新政策研究。立足全域土地综合整治工作总体要求、工作目标和重点项目的需求，借鉴全国全域土地综合整治的先进政策经验，理清政策脉络，构建具有黄埔区特色的全域土地综合整治政策体系，以创新政策为抓手，化解整治工作的难点、堵点和痛点问题，推进全域土地综合整治工作，推动“百千万工程”高质量发展。</w:t>
            </w:r>
          </w:p>
          <w:p>
            <w:pPr>
              <w:pStyle w:val="null3"/>
              <w:ind w:firstLine="422"/>
              <w:jc w:val="both"/>
            </w:pPr>
            <w:r>
              <w:rPr>
                <w:sz w:val="24"/>
              </w:rPr>
              <w:t>二是编制黄埔区全域整治相关政策指引文件。制定耕地保护恢复激励实施细则、建筑面积奖励兑现管理办法等配套管理办法，编制相应行政规范性文件申请材料，包括送审稿、注释稿、起草说明、调研论证报告、制定依据及参考文件等。同时按照规范性文件组织出台相关的政策解读等指引文件。</w:t>
            </w:r>
          </w:p>
          <w:p>
            <w:pPr>
              <w:pStyle w:val="null3"/>
              <w:ind w:firstLine="422"/>
              <w:jc w:val="both"/>
            </w:pPr>
            <w:r>
              <w:rPr>
                <w:sz w:val="24"/>
              </w:rPr>
              <w:t>2.黄埔区乡村建设规划许可证实施细则</w:t>
            </w:r>
          </w:p>
          <w:p>
            <w:pPr>
              <w:pStyle w:val="null3"/>
              <w:ind w:firstLine="422"/>
              <w:jc w:val="both"/>
            </w:pPr>
            <w:r>
              <w:rPr>
                <w:sz w:val="24"/>
              </w:rPr>
              <w:t>针对原实施细则开展实施评估，开展实施细则规划实施情况调研，收集镇街对实施细则修订的建议。系统梳理国、省、市关于乡村地区规划实施管理的具体政策要求，研究借鉴北京、上海、江浙等地区在乡村地区规划实施管理方面的先进经验，聚焦我区突出问题，结合我区实际进行政策创新。基于前期工作修订实施细则，落实上位政策要求，结合先进地区经验，形成新版《黄埔区乡村建设规划许可证实施细则》。</w:t>
            </w:r>
          </w:p>
          <w:p>
            <w:pPr>
              <w:pStyle w:val="null3"/>
              <w:ind w:firstLine="424"/>
              <w:jc w:val="both"/>
            </w:pPr>
            <w:r>
              <w:rPr>
                <w:sz w:val="24"/>
                <w:b/>
              </w:rPr>
              <w:t>（二）全区永久基本农田布局优化工作</w:t>
            </w:r>
          </w:p>
          <w:p>
            <w:pPr>
              <w:pStyle w:val="null3"/>
              <w:ind w:firstLine="422"/>
              <w:jc w:val="both"/>
            </w:pPr>
            <w:r>
              <w:rPr>
                <w:sz w:val="24"/>
              </w:rPr>
              <w:t>根据政策文件要求，黄埔区全域土地综合整治涉及永久基本农田布局调整，要单独编制《黄埔区全域土地综合整治永久基本农田布局调整方案》，并将其作为全域土地综合整治实施方案附件内容。</w:t>
            </w:r>
          </w:p>
          <w:p>
            <w:pPr>
              <w:pStyle w:val="null3"/>
              <w:ind w:firstLine="422"/>
              <w:jc w:val="both"/>
            </w:pPr>
            <w:r>
              <w:rPr>
                <w:sz w:val="24"/>
              </w:rPr>
              <w:t>根据前期对全区的永久基本农田情况摸查，黄埔区现状永久基本农田布局较为分散，多与城镇建成区交错分布，集中连片规模化农业生产效率不高。初步摸查全区有4406亩永久基本农田调整需求，涉及16个镇街，61个村社。根据《广州市黄埔区推进全域土地综合整治工作方案》，结合实际情况，开展永久基本农田布局优化工作。</w:t>
            </w:r>
          </w:p>
          <w:p>
            <w:pPr>
              <w:pStyle w:val="null3"/>
              <w:ind w:firstLine="422"/>
              <w:jc w:val="both"/>
            </w:pPr>
            <w:r>
              <w:rPr>
                <w:sz w:val="24"/>
              </w:rPr>
              <w:t>1.内业数据衔接及外业调查分析</w:t>
            </w:r>
          </w:p>
          <w:p>
            <w:pPr>
              <w:pStyle w:val="null3"/>
              <w:ind w:firstLine="422"/>
              <w:jc w:val="both"/>
            </w:pPr>
            <w:r>
              <w:rPr>
                <w:sz w:val="24"/>
              </w:rPr>
              <w:t>一是收集年度国土变更调查数据、国土空间规划，以及黄埔区基本社会经济发展、自然生态、地形、河涌水利项目、林业资源、未来开发建设计划等相关基础数据，综合考虑全域土地综合整治、高标准农田建设、撂荒地复耕复种等相关工作，并重点结合全域土地综合整治实施的精品项目，紧密衔接落实片区或单元实施方案用地需求，优化用地布局，尤其是永久基本农田布局。</w:t>
            </w:r>
          </w:p>
          <w:p>
            <w:pPr>
              <w:pStyle w:val="null3"/>
              <w:ind w:firstLine="422"/>
              <w:jc w:val="both"/>
            </w:pPr>
            <w:r>
              <w:rPr>
                <w:sz w:val="24"/>
              </w:rPr>
              <w:t>二是在对收集资料内业分析的基础上，对拟调整的永久基本农田图斑进行外业调查分析，以及拟恢复耕地、拟调入永久基本农田地块的地类现状、提质改造耕地潜力等情况，逐图斑、逐地块实地调查核实。</w:t>
            </w:r>
          </w:p>
          <w:p>
            <w:pPr>
              <w:pStyle w:val="null3"/>
              <w:ind w:firstLine="422"/>
              <w:jc w:val="both"/>
            </w:pPr>
            <w:r>
              <w:rPr>
                <w:sz w:val="24"/>
              </w:rPr>
              <w:t>2.编制《黄埔区全域土地综合整治永久基本农田布局调整方案》</w:t>
            </w:r>
          </w:p>
          <w:p>
            <w:pPr>
              <w:pStyle w:val="null3"/>
              <w:ind w:firstLine="422"/>
              <w:jc w:val="both"/>
            </w:pPr>
            <w:r>
              <w:rPr>
                <w:sz w:val="24"/>
              </w:rPr>
              <w:t>理清整治区域内未划为永久基本农田的现状耕地以及可通过土地整治新增耕地、提质改造耕地潜力等情况。政策规定调整永久基本农田数量不超过现有永农数量的5%，目前已纳入《广州市黄埔区全域土地综合整治实施方案》中永农调整数量为1350亩，需结合限制情况等相关因素确定整治区域范围内拟调出、调入的永久基本农田地块。永久基本农田优化调整方案主要包括以下内容：</w:t>
            </w:r>
          </w:p>
          <w:p>
            <w:pPr>
              <w:pStyle w:val="null3"/>
              <w:ind w:firstLine="422"/>
              <w:jc w:val="both"/>
            </w:pPr>
            <w:r>
              <w:rPr>
                <w:sz w:val="24"/>
              </w:rPr>
              <w:t>（1）项目概况。阐述黄埔区全域土地综合整治项目投资金额、建设工期、建设内容、实施范围、土地利用现状等项目基本信息，以及拟新增耕地、拟调出永久基本农田与拟调入基本农田的规模。</w:t>
            </w:r>
          </w:p>
          <w:p>
            <w:pPr>
              <w:pStyle w:val="null3"/>
              <w:ind w:firstLine="422"/>
              <w:jc w:val="both"/>
            </w:pPr>
            <w:r>
              <w:rPr>
                <w:sz w:val="24"/>
              </w:rPr>
              <w:t>（2）调整前情况说明。对全域土地综合整治调整永久基本农田前的现状耕地及永农情况进行说明，包括现状耕地及水田面积、平均质量等别、平均坡度等级、大于25度的坡耕地面积、可通过全域整治新增耕地的潜力地块面积、可提质改造的耕地潜力地块面积，以及现状永农的面积及分布、平均质量等别、集中成片连片情况、农作物种植情况等。</w:t>
            </w:r>
          </w:p>
          <w:p>
            <w:pPr>
              <w:pStyle w:val="null3"/>
              <w:ind w:firstLine="422"/>
              <w:jc w:val="both"/>
            </w:pPr>
            <w:r>
              <w:rPr>
                <w:sz w:val="24"/>
              </w:rPr>
              <w:t>（3）调整的必要性、合理性、可行性论证。结合项目选址和建设内容，充分说明整治区域需调整永久基本农田布局的必要性、合理性，并对试点实施期限内完成全部调整工作的可行性进行详细论证，计算出整治区域内的新增耕地和新增永久基本农田面积比例。</w:t>
            </w:r>
          </w:p>
          <w:p>
            <w:pPr>
              <w:pStyle w:val="null3"/>
              <w:ind w:firstLine="422"/>
              <w:jc w:val="both"/>
            </w:pPr>
            <w:r>
              <w:rPr>
                <w:sz w:val="24"/>
              </w:rPr>
              <w:t>（4）拟调入及调出地块情况说明。一是拟调出地块情况。说明整治区域内拟调出永久基本农田面积、分布、质量等别等情况。二是拟调入地块情况。说明整治区域内拟调入永久基本农田面积、分布、质量等别等，并分别分析其中拟通过新增耕地调入及拟通过提质改造现状耕地调入的地块情况。拟调入地块不涉及位于生态保拟调入地块不涉及位于生态保护红线范围和一级饮用水源保护区范围内的耕地、严格管控类的耕地、严重损毁且无法复垦的耕地、纳入生态退耕范围的耕地、25度以上的坡耕地。</w:t>
            </w:r>
          </w:p>
          <w:p>
            <w:pPr>
              <w:pStyle w:val="null3"/>
              <w:ind w:firstLine="422"/>
              <w:jc w:val="both"/>
            </w:pPr>
            <w:r>
              <w:rPr>
                <w:sz w:val="24"/>
              </w:rPr>
              <w:t>（5）调整进度安排。对整治区域内永久基本农田调整的目标任务、工作安排、时间节点、实施主体、组织保障、资金来源、推进措施、前期准备、存在困难及解决办法等内容进行详细阐述。</w:t>
            </w:r>
          </w:p>
          <w:p>
            <w:pPr>
              <w:pStyle w:val="null3"/>
              <w:ind w:firstLine="422"/>
              <w:jc w:val="both"/>
            </w:pPr>
            <w:r>
              <w:rPr>
                <w:sz w:val="24"/>
              </w:rPr>
              <w:t>（6）结论。通过以上内容的分析，说明该全域土地综合整治项目涉及的永久基本农田调整具有必要性、合理性及可行性，符合数量有增加、质量有提升、生态有改善、布局更加集中连片、总体保持稳定的要求，并能确保在整治实施期限内完成全部调整工作。</w:t>
            </w:r>
          </w:p>
          <w:p>
            <w:pPr>
              <w:pStyle w:val="null3"/>
              <w:ind w:firstLine="422"/>
              <w:jc w:val="both"/>
            </w:pPr>
            <w:r>
              <w:rPr>
                <w:sz w:val="24"/>
              </w:rPr>
              <w:t>（7）数据、图件编制。按照文件要求，按格式整理拟调出调入永久基本农田地块矢量数据、年度土地利用现状图、国土空间规划图等相关材料。</w:t>
            </w:r>
          </w:p>
          <w:p>
            <w:pPr>
              <w:pStyle w:val="null3"/>
              <w:ind w:firstLine="422"/>
              <w:jc w:val="both"/>
            </w:pPr>
            <w:r>
              <w:rPr>
                <w:sz w:val="24"/>
              </w:rPr>
              <w:t>3.调整方案按程序上报</w:t>
            </w:r>
          </w:p>
          <w:p>
            <w:pPr>
              <w:pStyle w:val="null3"/>
              <w:ind w:firstLine="422"/>
              <w:jc w:val="both"/>
            </w:pPr>
            <w:r>
              <w:rPr>
                <w:sz w:val="24"/>
              </w:rPr>
              <w:t>编制形成的永久基本农田布局调整方案，随全域土地综合整治项目实施方案一并逐级上报审查备案。</w:t>
            </w:r>
          </w:p>
          <w:p>
            <w:pPr>
              <w:pStyle w:val="null3"/>
              <w:ind w:firstLine="422"/>
              <w:jc w:val="both"/>
            </w:pPr>
            <w:r>
              <w:rPr>
                <w:sz w:val="24"/>
              </w:rPr>
              <w:t>（1）县级上报。县级自然资源部门将编制形成的永久基本农田布局调整方案（含所涉附图附表、调出调入地块矢量数据等）一并逐级报送市级自然资源部门审查。</w:t>
            </w:r>
          </w:p>
          <w:p>
            <w:pPr>
              <w:pStyle w:val="null3"/>
              <w:ind w:firstLine="422"/>
              <w:jc w:val="both"/>
            </w:pPr>
            <w:r>
              <w:rPr>
                <w:sz w:val="24"/>
              </w:rPr>
              <w:t>（2）市级审查。市级自然资源部门按照审查要点要求对县级上报的永久基本农田布局调整方案（含所涉附图附表、调出调入地块矢量数据等）予以审查后，征求同级农业农村部门意见，汇总形成市级审查意见，符合要求的，将有关永久基本农田布局调整方案（含所涉附图附表、调出调入地块矢量数据等）及市级审查意见（含市级农业农村部门意见）上报省厅进行审核。</w:t>
            </w:r>
          </w:p>
          <w:p>
            <w:pPr>
              <w:pStyle w:val="null3"/>
              <w:ind w:firstLine="422"/>
              <w:jc w:val="left"/>
            </w:pPr>
            <w:r>
              <w:rPr>
                <w:sz w:val="24"/>
              </w:rPr>
              <w:t>（3）省级审核。省级审核工作由省厅耕保处牵头负责，具体由省整治中心组织实施，由其对永久基本农田布局调整方案（含所涉附图附表、调出调入地块矢量数据等）以及市级审查意见（含市级农业农村部门意见）等材料的完整性、合理性以及所涉指标符合性进行省级复核分析，形成初步审查意见，报省厅耕保处。省厅征求省农业农村厅意见后，对符合要求的，按规定出具审核意见；对不符合要求的，由省厅耕保处交由省整治中心统一反馈有关市县予以修改完善。</w:t>
            </w:r>
          </w:p>
          <w:p>
            <w:pPr>
              <w:pStyle w:val="null3"/>
              <w:ind w:firstLine="422"/>
              <w:jc w:val="left"/>
            </w:pPr>
            <w:r>
              <w:rPr/>
              <w:t xml:space="preserve"> </w:t>
            </w:r>
          </w:p>
          <w:p>
            <w:pPr>
              <w:pStyle w:val="null3"/>
              <w:ind w:firstLine="422"/>
              <w:jc w:val="left"/>
            </w:pPr>
            <w:r>
              <w:rPr/>
              <w:t xml:space="preserve"> </w:t>
            </w:r>
          </w:p>
        </w:tc>
      </w:tr>
      <w:tr>
        <w:tc>
          <w:tcPr>
            <w:tcW w:type="dxa" w:w="2076"/>
          </w:tcPr>
          <w:p/>
        </w:tc>
        <w:tc>
          <w:tcPr>
            <w:tcW w:type="dxa" w:w="415"/>
          </w:tcPr>
          <w:p>
            <w:pPr>
              <w:pStyle w:val="null3"/>
            </w:pPr>
            <w:r>
              <w:rPr/>
              <w:t>5</w:t>
            </w:r>
          </w:p>
        </w:tc>
        <w:tc>
          <w:tcPr>
            <w:tcW w:type="dxa" w:w="5814"/>
          </w:tcPr>
          <w:p>
            <w:pPr>
              <w:pStyle w:val="null3"/>
              <w:jc w:val="both"/>
            </w:pPr>
            <w:r>
              <w:rPr>
                <w:sz w:val="24"/>
                <w:b/>
              </w:rPr>
              <w:t>五、项目预期成果</w:t>
            </w:r>
          </w:p>
          <w:p>
            <w:pPr>
              <w:pStyle w:val="null3"/>
              <w:ind w:firstLine="422"/>
              <w:jc w:val="both"/>
            </w:pPr>
            <w:r>
              <w:rPr>
                <w:sz w:val="24"/>
              </w:rPr>
              <w:t>一套黄埔区“百千万工程”土地整治政策机制研究成果：1个政策汇编：1个或多个全域土地综合整治专题研究、多篇策论、1套宣传手册；黄埔区“百千万”政策实施细则或者工作指引；《黄埔区乡村建设规划许可证实施细则》及政策研究报告等。</w:t>
            </w:r>
          </w:p>
          <w:p>
            <w:pPr>
              <w:pStyle w:val="null3"/>
              <w:ind w:firstLine="422"/>
              <w:jc w:val="left"/>
            </w:pPr>
            <w:r>
              <w:rPr>
                <w:sz w:val="24"/>
              </w:rPr>
              <w:t>一套全区永久基本农田布局优化工作材料： 1份《黄埔区全域土地综合整治永久基本农田布局调整方案》。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广州开发区城市规划信息编研中心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采购机构代理服务收费标准：中标人须向采购代理机构交纳的代理服务费，本项目的代理服务费采用差额定率累进法计算收取： （1）以项目的预算金额作为收费的计算基数； （2）预算金额在100万以下的，代理服务费按1.2%计算；101万到500万的，按0.64%计算……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政府采购监督管理机构名称：广州市黄埔区财政局债务和采购管理处</w:t>
      </w:r>
    </w:p>
    <w:p>
      <w:pPr>
        <w:pStyle w:val="null3"/>
      </w:pPr>
      <w:r>
        <w:rPr/>
        <w:t>地 址：广州市黄埔区香雪三路1号行政中心E座123室</w:t>
      </w:r>
    </w:p>
    <w:p>
      <w:pPr>
        <w:pStyle w:val="null3"/>
      </w:pPr>
      <w:r>
        <w:rPr/>
        <w:t>电 话：020-82376610</w:t>
      </w:r>
    </w:p>
    <w:p>
      <w:pPr>
        <w:pStyle w:val="null3"/>
      </w:pPr>
      <w:r>
        <w:rPr/>
        <w:t>邮 编：510700</w:t>
      </w:r>
    </w:p>
    <w:p>
      <w:pPr>
        <w:pStyle w:val="null3"/>
      </w:pPr>
      <w:r>
        <w:rPr/>
        <w:t>传 真：020-82118411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黄埔区“百千万工程”土地整治政策机制研究及全区永久基本农田布局优化工作)：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采购包1（黄埔区“百千万工程”土地整治政策机制研究及全区永久基本农田布局优化工作）：</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采购包1（黄埔区“百千万工程”土地整治政策机制研究及全区永久基本农田布局优化工作）：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w:t>
            </w:r>
          </w:p>
        </w:tc>
      </w:tr>
      <w:tr>
        <w:tc>
          <w:tcPr>
            <w:tcW w:type="dxa" w:w="890"/>
          </w:tcPr>
          <w:p>
            <w:pPr>
              <w:pStyle w:val="null3"/>
            </w:pPr>
            <w:r>
              <w:rPr/>
              <w:t>10</w:t>
            </w:r>
          </w:p>
        </w:tc>
        <w:tc>
          <w:tcPr>
            <w:tcW w:type="dxa" w:w="3178"/>
          </w:tcPr>
          <w:p>
            <w:pPr>
              <w:pStyle w:val="null3"/>
            </w:pPr>
            <w:r>
              <w:rPr/>
              <w:t>投标人具有城乡规划编制甲级资质。</w:t>
            </w:r>
          </w:p>
        </w:tc>
        <w:tc>
          <w:tcPr>
            <w:tcW w:type="dxa" w:w="4238"/>
          </w:tcPr>
          <w:p>
            <w:pPr>
              <w:pStyle w:val="null3"/>
            </w:pPr>
            <w:r>
              <w:rPr/>
              <w:t>投标人具有城乡规划编制甲级资质。（提供证书复印件，根据自然资办函〔2023〕2717号文的规定，有效期至2023年12月31日的城乡规划编制单位甲级资质证书，有效期延长至2025年12月31日。如相关主管部门有最新政策，按最新政策执行）</w:t>
            </w:r>
          </w:p>
        </w:tc>
      </w:tr>
      <w:tr>
        <w:tc>
          <w:tcPr>
            <w:tcW w:type="dxa" w:w="890"/>
          </w:tcPr>
          <w:p>
            <w:pPr>
              <w:pStyle w:val="null3"/>
            </w:pPr>
            <w:r>
              <w:rPr/>
              <w:t>11</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根据《广东省政府采购促进中小企业发展实施细则》（试行）的规定，本采购包符合“面向中小企业预留采购份额无法确保充分供应、充分竞争，或者存在可能影响政府采购目标实现的情形”，本采购包不属于专门面向中小企业采购。 本采购包的所属行业为“其他未列明行业”，请按该行业划分标准进行中小企业声明。</w:t>
            </w:r>
          </w:p>
        </w:tc>
      </w:tr>
    </w:tbl>
    <w:p>
      <w:pPr>
        <w:pStyle w:val="null3"/>
        <w:ind w:firstLine="480"/>
      </w:pPr>
      <w:r>
        <w:rPr/>
        <w:t>表二符合性审查表：</w:t>
      </w:r>
    </w:p>
    <w:p>
      <w:pPr>
        <w:pStyle w:val="null3"/>
      </w:pPr>
      <w:r>
        <w:rPr/>
        <w:t>采购包1（黄埔区“百千万工程”土地整治政策机制研究及全区永久基本农田布局优化工作）：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投标报价未超过本项目最高限价</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采购包1(黄埔区“百千万工程”土地整治政策机制研究及全区永久基本农田布局优化工作):</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对项目开展目的及意义的理解（一） (2.0分)</w:t>
            </w:r>
          </w:p>
        </w:tc>
        <w:tc>
          <w:tcPr>
            <w:tcW w:type="dxa" w:w="5076"/>
          </w:tcPr>
          <w:p>
            <w:pPr>
              <w:pStyle w:val="null3"/>
              <w:jc w:val="left"/>
            </w:pPr>
            <w:r>
              <w:rPr/>
              <w:t>投标人根据本项目情况提供对项目开展目的及意义的理解。能提供以上内容的，得2分；不提供的得0分，且不能参与“对项目开展目的及意义的理解（二）”项的评分。</w:t>
            </w:r>
          </w:p>
        </w:tc>
      </w:tr>
      <w:tr>
        <w:tc>
          <w:tcPr>
            <w:tcW w:type="dxa" w:w="922"/>
            <w:gridSpan w:val="2"/>
            <w:vMerge/>
          </w:tcPr>
          <w:p/>
        </w:tc>
        <w:tc>
          <w:tcPr>
            <w:tcW w:type="dxa" w:w="2307"/>
          </w:tcPr>
          <w:p>
            <w:pPr>
              <w:pStyle w:val="null3"/>
              <w:jc w:val="left"/>
            </w:pPr>
            <w:r>
              <w:rPr/>
              <w:t>对项目开展目的及意义的理解（二） (8.0分)</w:t>
            </w:r>
            <w:r>
              <w:rPr/>
              <w:t>，（等次分值选择：</w:t>
            </w:r>
            <w:r>
              <w:rPr/>
              <w:t>0.0;</w:t>
            </w:r>
            <w:r>
              <w:rPr/>
              <w:t>2.0;</w:t>
            </w:r>
            <w:r>
              <w:rPr/>
              <w:t>6.0;</w:t>
            </w:r>
            <w:r>
              <w:rPr/>
              <w:t>8.0;</w:t>
            </w:r>
            <w:r>
              <w:rPr/>
              <w:t>）</w:t>
            </w:r>
          </w:p>
        </w:tc>
        <w:tc>
          <w:tcPr>
            <w:tcW w:type="dxa" w:w="5076"/>
          </w:tcPr>
          <w:p>
            <w:pPr>
              <w:pStyle w:val="null3"/>
              <w:jc w:val="left"/>
            </w:pPr>
            <w:r>
              <w:rPr/>
              <w:t>根据投标人提供的“对项目开展目的及意义的理解（一）”内容进行评审： 1.对本项目开展目的及意义理解深入，对该项目解读准确且工作开展思路明确，能够全面、深入地分析“百千万工程”工作要求、自然资源要素保障基础、面临问题及优化策略的，优于采购需求的，得8分； 2.对本项目开展目的及意义理解较为深入，对该项目解读较为准确且工作开展思路较为明确，对“百千万工程”工作要求、自然资源要素保障基础、面临问题及优化策略的分析深度不够，满足采购需求的，得6分； 3.对本项目开展目的及意义理解不深入，对该项目解读不准确且工作开展思路不明确，缺乏对“百千万工程”工作要求、自然资源要素保障基础、面临问题及优化策略的，部分满足采购需求的，得2分； 4.其它或无效响应，得0分。</w:t>
            </w:r>
          </w:p>
        </w:tc>
      </w:tr>
      <w:tr>
        <w:tc>
          <w:tcPr>
            <w:tcW w:type="dxa" w:w="922"/>
            <w:gridSpan w:val="2"/>
            <w:vMerge/>
          </w:tcPr>
          <w:p/>
        </w:tc>
        <w:tc>
          <w:tcPr>
            <w:tcW w:type="dxa" w:w="2307"/>
          </w:tcPr>
          <w:p>
            <w:pPr>
              <w:pStyle w:val="null3"/>
              <w:jc w:val="left"/>
            </w:pPr>
            <w:r>
              <w:rPr/>
              <w:t>对项目技术思路、技术方案的分项表述（一） (2.0分)</w:t>
            </w:r>
          </w:p>
        </w:tc>
        <w:tc>
          <w:tcPr>
            <w:tcW w:type="dxa" w:w="5076"/>
          </w:tcPr>
          <w:p>
            <w:pPr>
              <w:pStyle w:val="null3"/>
              <w:jc w:val="left"/>
            </w:pPr>
            <w:r>
              <w:rPr/>
              <w:t>投标人根据本项目情况提供对项目技术思路、技术方案的分项表述。能提供相应内容的，得2分；不提供的得0分，且不能参与“对项目技术思路、技术方案的分项表述（二） ”项的评分。</w:t>
            </w:r>
          </w:p>
        </w:tc>
      </w:tr>
      <w:tr>
        <w:tc>
          <w:tcPr>
            <w:tcW w:type="dxa" w:w="922"/>
            <w:gridSpan w:val="2"/>
            <w:vMerge/>
          </w:tcPr>
          <w:p/>
        </w:tc>
        <w:tc>
          <w:tcPr>
            <w:tcW w:type="dxa" w:w="2307"/>
          </w:tcPr>
          <w:p>
            <w:pPr>
              <w:pStyle w:val="null3"/>
              <w:jc w:val="left"/>
            </w:pPr>
            <w:r>
              <w:rPr/>
              <w:t>对项目技术思路、技术方案的分项表述（二） (14.0分)</w:t>
            </w:r>
            <w:r>
              <w:rPr/>
              <w:t>，（等次分值选择：</w:t>
            </w:r>
            <w:r>
              <w:rPr/>
              <w:t>0.0;</w:t>
            </w:r>
            <w:r>
              <w:rPr/>
              <w:t>2.0;</w:t>
            </w:r>
            <w:r>
              <w:rPr/>
              <w:t>8.0;</w:t>
            </w:r>
            <w:r>
              <w:rPr/>
              <w:t>14.0;</w:t>
            </w:r>
            <w:r>
              <w:rPr/>
              <w:t>）</w:t>
            </w:r>
          </w:p>
        </w:tc>
        <w:tc>
          <w:tcPr>
            <w:tcW w:type="dxa" w:w="5076"/>
          </w:tcPr>
          <w:p>
            <w:pPr>
              <w:pStyle w:val="null3"/>
              <w:jc w:val="left"/>
            </w:pPr>
            <w:r>
              <w:rPr/>
              <w:t>根据投标人提供的“对项目技术思路、技术方案的分项表述（一）”内容进行评审： 1.主要内容全面、思路清晰，能强调各部分工作内容的侧重点，具有一定创新性、可操作性，优于采购需求的，得14分； 2.主要内容较为全面、思路较为清晰，能强调各部分工作内容的侧重点，创新性、可操作性一般，满足采购需求的，得8分； 3.主要内容不全面、思路不清晰，各部分工作内容的侧重点不明确，没有创新性、可操作性，部分满足采购需求的，得2分； 4.其它或无效响应，得0分。</w:t>
            </w:r>
          </w:p>
        </w:tc>
      </w:tr>
      <w:tr>
        <w:tc>
          <w:tcPr>
            <w:tcW w:type="dxa" w:w="922"/>
            <w:gridSpan w:val="2"/>
            <w:vMerge/>
          </w:tcPr>
          <w:p/>
        </w:tc>
        <w:tc>
          <w:tcPr>
            <w:tcW w:type="dxa" w:w="2307"/>
          </w:tcPr>
          <w:p>
            <w:pPr>
              <w:pStyle w:val="null3"/>
              <w:jc w:val="left"/>
            </w:pPr>
            <w:r>
              <w:rPr/>
              <w:t>工作重点、关键问题的分析与把握（一） (2.0分)</w:t>
            </w:r>
          </w:p>
        </w:tc>
        <w:tc>
          <w:tcPr>
            <w:tcW w:type="dxa" w:w="5076"/>
          </w:tcPr>
          <w:p>
            <w:pPr>
              <w:pStyle w:val="null3"/>
              <w:jc w:val="left"/>
            </w:pPr>
            <w:r>
              <w:rPr/>
              <w:t>投标人根据本项目情况提供对工作重点、关键问题的分析与把握。能提供相应内容的，得2分；不提供的得0分，且不能参与“工作重点、关键问题的分析与把握（二）”项的评分。</w:t>
            </w:r>
          </w:p>
        </w:tc>
      </w:tr>
      <w:tr>
        <w:tc>
          <w:tcPr>
            <w:tcW w:type="dxa" w:w="922"/>
            <w:gridSpan w:val="2"/>
            <w:vMerge/>
          </w:tcPr>
          <w:p/>
        </w:tc>
        <w:tc>
          <w:tcPr>
            <w:tcW w:type="dxa" w:w="2307"/>
          </w:tcPr>
          <w:p>
            <w:pPr>
              <w:pStyle w:val="null3"/>
              <w:jc w:val="left"/>
            </w:pPr>
            <w:r>
              <w:rPr/>
              <w:t>工作重点、关键问题的分析与把握（二） (6.0分)</w:t>
            </w:r>
            <w:r>
              <w:rPr/>
              <w:t>，（等次分值选择：</w:t>
            </w:r>
            <w:r>
              <w:rPr/>
              <w:t>0.0;</w:t>
            </w:r>
            <w:r>
              <w:rPr/>
              <w:t>2.0;</w:t>
            </w:r>
            <w:r>
              <w:rPr/>
              <w:t>4.0;</w:t>
            </w:r>
            <w:r>
              <w:rPr/>
              <w:t>6.0;</w:t>
            </w:r>
            <w:r>
              <w:rPr/>
              <w:t>）</w:t>
            </w:r>
          </w:p>
        </w:tc>
        <w:tc>
          <w:tcPr>
            <w:tcW w:type="dxa" w:w="5076"/>
          </w:tcPr>
          <w:p>
            <w:pPr>
              <w:pStyle w:val="null3"/>
              <w:jc w:val="left"/>
            </w:pPr>
            <w:r>
              <w:rPr/>
              <w:t>根据投标人提供的“工作重点、关键问题的分析与把握（一）”内容进行评审： 1.对“百千万工程”规划和自然资源要素保障落实情况、重点项目实施情况等工作重点把握准确，关键问题分析思路清晰，优于采购需求的，得6分； 2.对“百千万工程”规划和自然资源要素保障落实情况、重点项目实施情况等工作重点把握较为准确，关键问题分析思路比较清晰，满足采购需求的，得4分； 3.对“百千万工程”规划和自然资源要素保障落实情况、重点项目实施情况等工作重点把握不准确，关键问题分析思路不清晰，部分满足采购需求的，得2分； 4.其它或无效响应，得0分。</w:t>
            </w:r>
          </w:p>
        </w:tc>
      </w:tr>
      <w:tr>
        <w:tc>
          <w:tcPr>
            <w:tcW w:type="dxa" w:w="922"/>
            <w:gridSpan w:val="2"/>
            <w:vMerge/>
          </w:tcPr>
          <w:p/>
        </w:tc>
        <w:tc>
          <w:tcPr>
            <w:tcW w:type="dxa" w:w="2307"/>
          </w:tcPr>
          <w:p>
            <w:pPr>
              <w:pStyle w:val="null3"/>
              <w:jc w:val="left"/>
            </w:pPr>
            <w:r>
              <w:rPr/>
              <w:t>成果形式，包括内容深度、材料完整性、规划文本、技术图纸、汇报文件等内容（一） (2.0分)</w:t>
            </w:r>
          </w:p>
        </w:tc>
        <w:tc>
          <w:tcPr>
            <w:tcW w:type="dxa" w:w="5076"/>
          </w:tcPr>
          <w:p>
            <w:pPr>
              <w:pStyle w:val="null3"/>
              <w:jc w:val="left"/>
            </w:pPr>
            <w:r>
              <w:rPr/>
              <w:t>投标人根据本项目情况提供对成果形式，包括内容深度、材料完整性、规划文本、技术图纸、汇报文件等内容。能提供相应内容的，得2分；不提供的得0分，且不能参与“成果形式，包括内容深度、材料完整性、规划文本、技术图纸、汇报文件等内容（二）”项的评分。</w:t>
            </w:r>
          </w:p>
        </w:tc>
      </w:tr>
      <w:tr>
        <w:tc>
          <w:tcPr>
            <w:tcW w:type="dxa" w:w="922"/>
            <w:gridSpan w:val="2"/>
            <w:vMerge/>
          </w:tcPr>
          <w:p/>
        </w:tc>
        <w:tc>
          <w:tcPr>
            <w:tcW w:type="dxa" w:w="2307"/>
          </w:tcPr>
          <w:p>
            <w:pPr>
              <w:pStyle w:val="null3"/>
              <w:jc w:val="left"/>
            </w:pPr>
            <w:r>
              <w:rPr/>
              <w:t>成果形式，包括内容深度、材料完整性、规划文本、技术图纸、汇报文件等内容（二） (10.0分)</w:t>
            </w:r>
            <w:r>
              <w:rPr/>
              <w:t>，（等次分值选择：</w:t>
            </w:r>
            <w:r>
              <w:rPr/>
              <w:t>0.0;</w:t>
            </w:r>
            <w:r>
              <w:rPr/>
              <w:t>2.0;</w:t>
            </w:r>
            <w:r>
              <w:rPr/>
              <w:t>6.0;</w:t>
            </w:r>
            <w:r>
              <w:rPr/>
              <w:t>10.0;</w:t>
            </w:r>
            <w:r>
              <w:rPr/>
              <w:t>）</w:t>
            </w:r>
          </w:p>
        </w:tc>
        <w:tc>
          <w:tcPr>
            <w:tcW w:type="dxa" w:w="5076"/>
          </w:tcPr>
          <w:p>
            <w:pPr>
              <w:pStyle w:val="null3"/>
              <w:jc w:val="left"/>
            </w:pPr>
            <w:r>
              <w:rPr/>
              <w:t>根据投标人提供的“成果形式，包括内容深度、材料完整性、规划文本、技术图纸、汇报文件等内容（一）”内容进行评审： 1.成果形式符合编制要求，形式完整且内容丰富，优于采购需求的，得10分； 2.成果形式基本符合编制要求，形式较为完整，内容较为丰富，满足采购需求的，得6分； 3.成果形式不符合编制要求，形式不完整，内容不丰富，部分满足采购需求的，得2分； 4.其它或无效响应，得0分。</w:t>
            </w:r>
          </w:p>
        </w:tc>
      </w:tr>
      <w:tr>
        <w:tc>
          <w:tcPr>
            <w:tcW w:type="dxa" w:w="922"/>
            <w:gridSpan w:val="2"/>
            <w:vMerge/>
          </w:tcPr>
          <w:p/>
        </w:tc>
        <w:tc>
          <w:tcPr>
            <w:tcW w:type="dxa" w:w="2307"/>
          </w:tcPr>
          <w:p>
            <w:pPr>
              <w:pStyle w:val="null3"/>
              <w:jc w:val="left"/>
            </w:pPr>
            <w:r>
              <w:rPr/>
              <w:t>项目组织、进度安排、时间点控制，组织实施计划等（一） (1.0分)</w:t>
            </w:r>
          </w:p>
        </w:tc>
        <w:tc>
          <w:tcPr>
            <w:tcW w:type="dxa" w:w="5076"/>
          </w:tcPr>
          <w:p>
            <w:pPr>
              <w:pStyle w:val="null3"/>
              <w:jc w:val="left"/>
            </w:pPr>
            <w:r>
              <w:rPr/>
              <w:t>投标人根据本项目情况提供对项目组织、进度安排、时间点控制，组织实施计划等。能提供以上内容的，得1分；不提供的得0分，且不能参与“项目组织、进度安排、时间点控制，组织实施计划等（二）”项的评分。</w:t>
            </w:r>
          </w:p>
        </w:tc>
      </w:tr>
      <w:tr>
        <w:tc>
          <w:tcPr>
            <w:tcW w:type="dxa" w:w="922"/>
            <w:gridSpan w:val="2"/>
            <w:vMerge/>
          </w:tcPr>
          <w:p/>
        </w:tc>
        <w:tc>
          <w:tcPr>
            <w:tcW w:type="dxa" w:w="2307"/>
          </w:tcPr>
          <w:p>
            <w:pPr>
              <w:pStyle w:val="null3"/>
              <w:jc w:val="left"/>
            </w:pPr>
            <w:r>
              <w:rPr/>
              <w:t>项目组织、进度安排、时间点控制，组织实施计划等（二） (3.0分)</w:t>
            </w:r>
            <w:r>
              <w:rPr/>
              <w:t>，（等次分值选择：</w:t>
            </w:r>
            <w:r>
              <w:rPr/>
              <w:t>0.0;</w:t>
            </w:r>
            <w:r>
              <w:rPr/>
              <w:t>1.0;</w:t>
            </w:r>
            <w:r>
              <w:rPr/>
              <w:t>2.0;</w:t>
            </w:r>
            <w:r>
              <w:rPr/>
              <w:t>3.0;</w:t>
            </w:r>
            <w:r>
              <w:rPr/>
              <w:t>）</w:t>
            </w:r>
          </w:p>
        </w:tc>
        <w:tc>
          <w:tcPr>
            <w:tcW w:type="dxa" w:w="5076"/>
          </w:tcPr>
          <w:p>
            <w:pPr>
              <w:pStyle w:val="null3"/>
              <w:jc w:val="left"/>
            </w:pPr>
            <w:r>
              <w:rPr/>
              <w:t>根据投标人提供的“项目组织、进度安排、时间点控制，组织实施计划等（一）”内容进行评审： 1.项目实施计划安排合理、完善，时间点合理准确，科学，优于采购需求的，得3分； 2.项目实施计划安排较为合理、完善，时间点较为合理准确，满足采购需求的，得2分； 3.项目实施计划安排不合理、不完善，时间点不合理准确，部分满足采购需求的，得1分； 4.最终完成时间不符合采购人要求或无效响应，得0分。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1.自2020年1月1日至今，投标人承担过“百千万工程”类项目的，每项得1分，最高分为2分。 2.自2020年1月1日至今，投标人承担过政策研究类项目的，每项得1分，最高分为4分。 3.自2020年1月1日至今，投标人承担过永久基本农田类项目的，每项得1分，最高分为2分。 注：以合同签定时间为准，提供合同关键页(显示签订合同双方的单位名称、合同项目名称与含签订合同双方的落款盖章、签订日期)复印件加盖投标人公章，否则不得分。</w:t>
            </w:r>
          </w:p>
        </w:tc>
      </w:tr>
      <w:tr>
        <w:tc>
          <w:tcPr>
            <w:tcW w:type="dxa" w:w="922"/>
            <w:gridSpan w:val="2"/>
            <w:vMerge/>
          </w:tcPr>
          <w:p/>
        </w:tc>
        <w:tc>
          <w:tcPr>
            <w:tcW w:type="dxa" w:w="2307"/>
          </w:tcPr>
          <w:p>
            <w:pPr>
              <w:pStyle w:val="null3"/>
              <w:jc w:val="left"/>
            </w:pPr>
            <w:r>
              <w:rPr/>
              <w:t>项目总负责人专业技术能力 (5.0分)</w:t>
            </w:r>
          </w:p>
        </w:tc>
        <w:tc>
          <w:tcPr>
            <w:tcW w:type="dxa" w:w="5076"/>
          </w:tcPr>
          <w:p>
            <w:pPr>
              <w:pStyle w:val="null3"/>
              <w:jc w:val="left"/>
            </w:pPr>
            <w:r>
              <w:rPr/>
              <w:t>投标人拟派本项目负责人情况： 具有城市（乡）规划专业正高级技术职称的，得5分。 注：本项最高得5分。需提供人员职称证和投标截止时间前在供应商单位任职近半年内任一个月社保证明（免于参加社保的人员需提供相关证明材料，并加盖供应商公章。）或劳动合同复印件，上述证明材料均需加盖供应商公章，不提供或不齐全均不得分。</w:t>
            </w:r>
          </w:p>
        </w:tc>
      </w:tr>
      <w:tr>
        <w:tc>
          <w:tcPr>
            <w:tcW w:type="dxa" w:w="922"/>
            <w:gridSpan w:val="2"/>
            <w:vMerge/>
          </w:tcPr>
          <w:p/>
        </w:tc>
        <w:tc>
          <w:tcPr>
            <w:tcW w:type="dxa" w:w="2307"/>
          </w:tcPr>
          <w:p>
            <w:pPr>
              <w:pStyle w:val="null3"/>
              <w:jc w:val="left"/>
            </w:pPr>
            <w:r>
              <w:rPr/>
              <w:t>技术服务团队的专业能力 (18.0分)</w:t>
            </w:r>
          </w:p>
        </w:tc>
        <w:tc>
          <w:tcPr>
            <w:tcW w:type="dxa" w:w="5076"/>
          </w:tcPr>
          <w:p>
            <w:pPr>
              <w:pStyle w:val="null3"/>
              <w:jc w:val="left"/>
            </w:pPr>
            <w:r>
              <w:rPr/>
              <w:t>投标人专业配置要求同时涵盖城市（乡）规划、测绘类专业、国土类等相关专业： 1.以上每个专业配备一名副高级工程师（或以上）得2.5分，每个专业最高为5分，本项最高得15分。 2.以上每个专业配备一名中级工程师（或以上）得1分，每个专业最高为1分，本项最高得3分。 注：提供上述人员的①职称证书复印件；②投标截止时间前在投标人单位任职近半年内任一个月社保证明（免于参加社保的人员需提供相关证明材料，并加盖投标人公章。）或劳动合同复印件；人员专业以职称证证书上的专业为准，未提供或提供资料不全的不得分。</w:t>
            </w:r>
          </w:p>
        </w:tc>
      </w:tr>
      <w:tr>
        <w:tc>
          <w:tcPr>
            <w:tcW w:type="dxa" w:w="922"/>
            <w:gridSpan w:val="2"/>
            <w:vMerge/>
          </w:tcPr>
          <w:p/>
        </w:tc>
        <w:tc>
          <w:tcPr>
            <w:tcW w:type="dxa" w:w="2307"/>
          </w:tcPr>
          <w:p>
            <w:pPr>
              <w:pStyle w:val="null3"/>
              <w:jc w:val="left"/>
            </w:pPr>
            <w:r>
              <w:rPr/>
              <w:t>服务响应情况 (4.0分)</w:t>
            </w:r>
          </w:p>
        </w:tc>
        <w:tc>
          <w:tcPr>
            <w:tcW w:type="dxa" w:w="5076"/>
          </w:tcPr>
          <w:p>
            <w:pPr>
              <w:pStyle w:val="null3"/>
              <w:jc w:val="left"/>
            </w:pPr>
            <w:r>
              <w:rPr/>
              <w:t>根据投标人承诺的服务响应时间进行评分： 1.收到采购人通知（电话或书面）后1小时内（含1小时）响应的，得4分； 2.收到采购人通知（电话或书面）后2小时内（含2小时）响应的，得2分； 3.收到采购人通知（电话或书面）后3小时内（含3小时）响应的，得1分； 4.其他，得0分。 注：需提供承诺函原件（格式自拟），并加盖单位公章。</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ind w:right="420"/>
        <w:jc w:val="both"/>
      </w:pPr>
      <w:r>
        <w:rPr>
          <w:sz w:val="24"/>
        </w:rPr>
        <w:t>合同编号：</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center"/>
      </w:pPr>
      <w:r>
        <w:rPr>
          <w:sz w:val="72"/>
          <w:b/>
        </w:rPr>
        <w:t>技 术 服 务 合 同</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30"/>
        </w:rPr>
        <w:t>项目名称：</w:t>
      </w:r>
    </w:p>
    <w:p>
      <w:pPr>
        <w:pStyle w:val="null3"/>
        <w:jc w:val="both"/>
      </w:pPr>
      <w:r>
        <w:rPr/>
        <w:t xml:space="preserve"> </w:t>
      </w:r>
    </w:p>
    <w:p>
      <w:pPr>
        <w:pStyle w:val="null3"/>
        <w:jc w:val="both"/>
      </w:pPr>
      <w:r>
        <w:rPr>
          <w:sz w:val="30"/>
        </w:rPr>
        <w:t>委 托 方：</w:t>
      </w:r>
    </w:p>
    <w:p>
      <w:pPr>
        <w:pStyle w:val="null3"/>
        <w:jc w:val="both"/>
      </w:pPr>
      <w:r>
        <w:rPr>
          <w:sz w:val="30"/>
        </w:rPr>
        <w:t>（甲 方）</w:t>
      </w:r>
    </w:p>
    <w:p>
      <w:pPr>
        <w:pStyle w:val="null3"/>
        <w:jc w:val="both"/>
      </w:pPr>
      <w:r>
        <w:rPr/>
        <w:t xml:space="preserve"> </w:t>
      </w:r>
    </w:p>
    <w:p>
      <w:pPr>
        <w:pStyle w:val="null3"/>
        <w:jc w:val="both"/>
      </w:pPr>
      <w:r>
        <w:rPr>
          <w:sz w:val="30"/>
        </w:rPr>
        <w:t>受 托 方：</w:t>
      </w:r>
    </w:p>
    <w:p>
      <w:pPr>
        <w:pStyle w:val="null3"/>
        <w:jc w:val="both"/>
      </w:pPr>
      <w:r>
        <w:rPr>
          <w:sz w:val="30"/>
        </w:rPr>
        <w:t>（乙 方）</w:t>
      </w:r>
    </w:p>
    <w:p>
      <w:pPr>
        <w:pStyle w:val="null3"/>
        <w:jc w:val="both"/>
      </w:pPr>
      <w:r>
        <w:rPr/>
        <w:t xml:space="preserve"> </w:t>
      </w:r>
    </w:p>
    <w:p>
      <w:pPr>
        <w:pStyle w:val="null3"/>
        <w:jc w:val="both"/>
      </w:pPr>
      <w:r>
        <w:rPr>
          <w:sz w:val="30"/>
        </w:rPr>
        <w:t>签订时间：</w:t>
      </w:r>
    </w:p>
    <w:p>
      <w:pPr>
        <w:pStyle w:val="null3"/>
        <w:jc w:val="both"/>
      </w:pPr>
      <w:r>
        <w:rPr/>
        <w:t xml:space="preserve"> </w:t>
      </w:r>
    </w:p>
    <w:p>
      <w:pPr>
        <w:pStyle w:val="null3"/>
        <w:jc w:val="both"/>
      </w:pPr>
      <w:r>
        <w:rPr>
          <w:sz w:val="30"/>
        </w:rPr>
        <w:t>签订地点：</w:t>
      </w:r>
    </w:p>
    <w:p>
      <w:pPr>
        <w:pStyle w:val="null3"/>
        <w:jc w:val="both"/>
      </w:pPr>
      <w:r>
        <w:rPr/>
        <w:t xml:space="preserve"> </w:t>
      </w:r>
    </w:p>
    <w:p>
      <w:pPr>
        <w:pStyle w:val="null3"/>
        <w:jc w:val="both"/>
      </w:pPr>
      <w:r>
        <w:rPr>
          <w:sz w:val="30"/>
        </w:rPr>
        <w:t>有效期限：</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7"/>
        </w:rPr>
        <w:t>中华人民共和国科学技术部印制</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30"/>
          <w:b/>
        </w:rPr>
        <w:t>填写说明</w:t>
      </w:r>
    </w:p>
    <w:p>
      <w:pPr>
        <w:pStyle w:val="null3"/>
        <w:jc w:val="both"/>
      </w:pPr>
      <w:r>
        <w:rPr>
          <w:sz w:val="24"/>
        </w:rPr>
        <w:t>一、本合同为中华人民共和国科学技术部印制的技术服务合同示范文本，各技术合同认定登记机构可推介技术合同当事人参照使用。</w:t>
      </w:r>
    </w:p>
    <w:p>
      <w:pPr>
        <w:pStyle w:val="null3"/>
        <w:ind w:firstLine="425"/>
        <w:jc w:val="both"/>
      </w:pPr>
      <w:r>
        <w:rPr>
          <w:sz w:val="24"/>
        </w:rPr>
        <w:t>二、本合同书适用于一方当事人（受托方）以技术知识为另一方（委托方）解决特定技术问题所订立的合同。</w:t>
      </w:r>
    </w:p>
    <w:p>
      <w:pPr>
        <w:pStyle w:val="null3"/>
        <w:ind w:firstLine="425"/>
        <w:jc w:val="both"/>
      </w:pPr>
      <w:r>
        <w:rPr>
          <w:sz w:val="24"/>
        </w:rPr>
        <w:t>三、签约一方为多个当事人的，可按各自在合同关系中的作用等，在“委托方”、“受托方”项下（增页）分别排列为共同委托人或共同受托人。</w:t>
      </w:r>
    </w:p>
    <w:p>
      <w:pPr>
        <w:pStyle w:val="null3"/>
        <w:ind w:firstLine="425"/>
        <w:jc w:val="both"/>
      </w:pPr>
      <w:r>
        <w:rPr>
          <w:sz w:val="24"/>
        </w:rPr>
        <w:t>四、本合同书未尽事项，可由当事人附页另行约定，并作为本合同的组成部分。</w:t>
      </w:r>
    </w:p>
    <w:p>
      <w:pPr>
        <w:pStyle w:val="null3"/>
        <w:ind w:firstLine="425"/>
        <w:jc w:val="both"/>
      </w:pPr>
      <w:r>
        <w:rPr>
          <w:sz w:val="24"/>
        </w:rPr>
        <w:t>五、当事人使用本合同书时约定无需填写的条款，应在该条款处注明“无”等字样。</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jc w:val="center"/>
      </w:pPr>
      <w:r>
        <w:rPr>
          <w:sz w:val="24"/>
          <w:b/>
        </w:rPr>
        <w:t>技术服务合同</w:t>
      </w:r>
    </w:p>
    <w:p>
      <w:pPr>
        <w:pStyle w:val="null3"/>
        <w:jc w:val="both"/>
      </w:pPr>
      <w:r>
        <w:rPr>
          <w:sz w:val="24"/>
        </w:rPr>
        <w:t>委托方（甲方）：</w:t>
      </w:r>
      <w:r>
        <w:rPr>
          <w:sz w:val="24"/>
          <w:u w:val="single"/>
        </w:rPr>
        <w:t>广州开发区城市规划信息编研中心</w:t>
      </w:r>
    </w:p>
    <w:p>
      <w:pPr>
        <w:pStyle w:val="null3"/>
        <w:jc w:val="both"/>
      </w:pPr>
      <w:r>
        <w:rPr>
          <w:sz w:val="24"/>
        </w:rPr>
        <w:t>住所地：</w:t>
      </w:r>
      <w:r>
        <w:rPr>
          <w:sz w:val="24"/>
          <w:u w:val="single"/>
        </w:rPr>
        <w:t>广州市黄埔区汇星路81号C栋</w:t>
      </w:r>
    </w:p>
    <w:p>
      <w:pPr>
        <w:pStyle w:val="null3"/>
        <w:jc w:val="both"/>
      </w:pPr>
      <w:r>
        <w:rPr>
          <w:sz w:val="24"/>
        </w:rPr>
        <w:t>法定代表人：</w:t>
      </w:r>
    </w:p>
    <w:p>
      <w:pPr>
        <w:pStyle w:val="null3"/>
        <w:jc w:val="both"/>
      </w:pPr>
      <w:r>
        <w:rPr>
          <w:sz w:val="24"/>
        </w:rPr>
        <w:t>项目联系人：</w:t>
      </w:r>
    </w:p>
    <w:p>
      <w:pPr>
        <w:pStyle w:val="null3"/>
        <w:jc w:val="both"/>
      </w:pPr>
      <w:r>
        <w:rPr>
          <w:sz w:val="24"/>
        </w:rPr>
        <w:t>联系方式：</w:t>
      </w:r>
    </w:p>
    <w:p>
      <w:pPr>
        <w:pStyle w:val="null3"/>
        <w:jc w:val="both"/>
      </w:pPr>
      <w:r>
        <w:rPr>
          <w:sz w:val="24"/>
        </w:rPr>
        <w:t>通讯地址：</w:t>
      </w:r>
      <w:r>
        <w:rPr>
          <w:sz w:val="24"/>
          <w:u w:val="single"/>
        </w:rPr>
        <w:t>广州市黄埔区汇星路81</w:t>
      </w:r>
      <w:r>
        <w:rPr>
          <w:sz w:val="24"/>
          <w:u w:val="single"/>
        </w:rPr>
        <w:t>号C栋</w:t>
      </w:r>
    </w:p>
    <w:p>
      <w:pPr>
        <w:pStyle w:val="null3"/>
        <w:jc w:val="both"/>
      </w:pPr>
      <w:r>
        <w:rPr>
          <w:sz w:val="24"/>
        </w:rPr>
        <w:t>电话：    传真：</w:t>
      </w:r>
    </w:p>
    <w:p>
      <w:pPr>
        <w:pStyle w:val="null3"/>
        <w:jc w:val="both"/>
      </w:pPr>
      <w:r>
        <w:rPr>
          <w:sz w:val="24"/>
        </w:rPr>
        <w:t>电子信箱：</w:t>
      </w:r>
    </w:p>
    <w:p>
      <w:pPr>
        <w:pStyle w:val="null3"/>
        <w:jc w:val="both"/>
      </w:pPr>
      <w:r>
        <w:rPr>
          <w:sz w:val="24"/>
        </w:rPr>
        <w:t>委托方（乙方）：</w:t>
      </w:r>
    </w:p>
    <w:p>
      <w:pPr>
        <w:pStyle w:val="null3"/>
        <w:jc w:val="both"/>
      </w:pPr>
      <w:r>
        <w:rPr>
          <w:sz w:val="24"/>
        </w:rPr>
        <w:t>住所地：</w:t>
      </w:r>
    </w:p>
    <w:p>
      <w:pPr>
        <w:pStyle w:val="null3"/>
        <w:jc w:val="both"/>
      </w:pPr>
      <w:r>
        <w:rPr>
          <w:sz w:val="24"/>
        </w:rPr>
        <w:t>法定代表人：</w:t>
      </w:r>
    </w:p>
    <w:p>
      <w:pPr>
        <w:pStyle w:val="null3"/>
        <w:jc w:val="both"/>
      </w:pPr>
      <w:r>
        <w:rPr>
          <w:sz w:val="24"/>
        </w:rPr>
        <w:t>项目联系人：</w:t>
      </w:r>
    </w:p>
    <w:p>
      <w:pPr>
        <w:pStyle w:val="null3"/>
        <w:jc w:val="both"/>
      </w:pPr>
      <w:r>
        <w:rPr>
          <w:sz w:val="24"/>
        </w:rPr>
        <w:t>联系方式：</w:t>
      </w:r>
    </w:p>
    <w:p>
      <w:pPr>
        <w:pStyle w:val="null3"/>
        <w:jc w:val="both"/>
      </w:pPr>
      <w:r>
        <w:rPr>
          <w:sz w:val="24"/>
        </w:rPr>
        <w:t>通讯地址：</w:t>
      </w:r>
    </w:p>
    <w:p>
      <w:pPr>
        <w:pStyle w:val="null3"/>
        <w:jc w:val="both"/>
      </w:pPr>
      <w:r>
        <w:rPr>
          <w:sz w:val="24"/>
        </w:rPr>
        <w:t>电话：    传真：</w:t>
      </w:r>
    </w:p>
    <w:p>
      <w:pPr>
        <w:pStyle w:val="null3"/>
        <w:jc w:val="both"/>
      </w:pPr>
      <w:r>
        <w:rPr>
          <w:sz w:val="24"/>
        </w:rPr>
        <w:t>电子信箱：</w:t>
      </w:r>
    </w:p>
    <w:p>
      <w:pPr>
        <w:pStyle w:val="null3"/>
        <w:ind w:firstLine="480"/>
        <w:jc w:val="both"/>
      </w:pPr>
      <w:r>
        <w:rPr>
          <w:sz w:val="24"/>
        </w:rPr>
        <w:t>本合同甲方委托乙方就</w:t>
      </w:r>
      <w:r>
        <w:rPr>
          <w:sz w:val="24"/>
          <w:u w:val="single"/>
        </w:rPr>
        <w:t>黄埔区“百千万工程”土地整治政策机制研究及全区永久基本农田布局优化工作</w:t>
      </w:r>
      <w:r>
        <w:rPr>
          <w:sz w:val="24"/>
        </w:rPr>
        <w:t>进行的专项技术服务，并支付相应的技术服务报酬。双方经过平等协商，在真实、充分地表达各自意愿的基础上，根据《中华人民共和国民法典》的规定，达成如下协议，并由双方共同恪守。</w:t>
      </w:r>
    </w:p>
    <w:p>
      <w:pPr>
        <w:pStyle w:val="null3"/>
        <w:ind w:firstLine="482"/>
        <w:jc w:val="both"/>
      </w:pPr>
      <w:r>
        <w:rPr>
          <w:sz w:val="24"/>
          <w:b/>
        </w:rPr>
        <w:t>第一条：甲方委托乙方进行技术服务的内容如下：</w:t>
      </w:r>
    </w:p>
    <w:p>
      <w:pPr>
        <w:pStyle w:val="null3"/>
        <w:ind w:firstLine="480"/>
        <w:jc w:val="both"/>
      </w:pPr>
      <w:r>
        <w:rPr>
          <w:sz w:val="24"/>
        </w:rPr>
        <w:t>1.技术服务的目标：</w:t>
      </w:r>
      <w:r>
        <w:rPr>
          <w:sz w:val="24"/>
          <w:u w:val="single"/>
        </w:rPr>
        <w:t xml:space="preserve">             </w:t>
      </w:r>
      <w:r>
        <w:rPr>
          <w:sz w:val="24"/>
        </w:rPr>
        <w:t>。</w:t>
      </w:r>
    </w:p>
    <w:p>
      <w:pPr>
        <w:pStyle w:val="null3"/>
        <w:ind w:firstLine="480"/>
        <w:jc w:val="both"/>
      </w:pPr>
      <w:r>
        <w:rPr>
          <w:sz w:val="24"/>
        </w:rPr>
        <w:t>2.技术服务的内容：</w:t>
      </w:r>
      <w:r>
        <w:rPr>
          <w:sz w:val="24"/>
          <w:u w:val="single"/>
        </w:rPr>
        <w:t xml:space="preserve">             </w:t>
      </w:r>
      <w:r>
        <w:rPr>
          <w:sz w:val="24"/>
        </w:rPr>
        <w:t>。</w:t>
      </w:r>
    </w:p>
    <w:p>
      <w:pPr>
        <w:pStyle w:val="null3"/>
        <w:ind w:firstLine="480"/>
        <w:jc w:val="both"/>
      </w:pPr>
      <w:r>
        <w:rPr>
          <w:sz w:val="24"/>
        </w:rPr>
        <w:t>3.成果要求：</w:t>
      </w:r>
      <w:r>
        <w:rPr>
          <w:sz w:val="24"/>
          <w:u w:val="single"/>
        </w:rPr>
        <w:t xml:space="preserve">             </w:t>
      </w:r>
      <w:r>
        <w:rPr>
          <w:sz w:val="24"/>
        </w:rPr>
        <w:t>。</w:t>
      </w:r>
    </w:p>
    <w:p>
      <w:pPr>
        <w:pStyle w:val="null3"/>
        <w:ind w:firstLine="482"/>
        <w:jc w:val="both"/>
      </w:pPr>
      <w:r>
        <w:rPr>
          <w:sz w:val="24"/>
          <w:b/>
        </w:rPr>
        <w:t>第二条：乙方应按下列要求完成技术服务工作：</w:t>
      </w:r>
    </w:p>
    <w:p>
      <w:pPr>
        <w:pStyle w:val="null3"/>
        <w:ind w:firstLine="480"/>
        <w:jc w:val="both"/>
      </w:pPr>
      <w:r>
        <w:rPr>
          <w:sz w:val="24"/>
        </w:rPr>
        <w:t>1.技术服务地点：</w:t>
      </w:r>
      <w:r>
        <w:rPr>
          <w:sz w:val="24"/>
          <w:u w:val="single"/>
        </w:rPr>
        <w:t>广州市黄埔区</w:t>
      </w:r>
      <w:r>
        <w:rPr>
          <w:sz w:val="24"/>
        </w:rPr>
        <w:t>。</w:t>
      </w:r>
    </w:p>
    <w:p>
      <w:pPr>
        <w:pStyle w:val="null3"/>
        <w:ind w:firstLine="480"/>
        <w:jc w:val="both"/>
      </w:pPr>
      <w:r>
        <w:rPr>
          <w:sz w:val="24"/>
        </w:rPr>
        <w:t>2.技术服务期限：</w:t>
      </w:r>
      <w:r>
        <w:rPr>
          <w:sz w:val="24"/>
          <w:u w:val="single"/>
        </w:rPr>
        <w:t xml:space="preserve">             </w:t>
      </w:r>
      <w:r>
        <w:rPr>
          <w:sz w:val="24"/>
        </w:rPr>
        <w:t>。</w:t>
      </w:r>
    </w:p>
    <w:p>
      <w:pPr>
        <w:pStyle w:val="null3"/>
        <w:ind w:firstLine="480"/>
        <w:jc w:val="both"/>
      </w:pPr>
      <w:r>
        <w:rPr>
          <w:sz w:val="24"/>
        </w:rPr>
        <w:t>3.技术服务进度：</w:t>
      </w:r>
      <w:r>
        <w:rPr>
          <w:sz w:val="24"/>
          <w:u w:val="single"/>
        </w:rPr>
        <w:t xml:space="preserve">             </w:t>
      </w:r>
      <w:r>
        <w:rPr>
          <w:sz w:val="24"/>
        </w:rPr>
        <w:t>。</w:t>
      </w:r>
    </w:p>
    <w:p>
      <w:pPr>
        <w:pStyle w:val="null3"/>
        <w:ind w:firstLine="480"/>
        <w:jc w:val="both"/>
      </w:pPr>
      <w:r>
        <w:rPr>
          <w:sz w:val="24"/>
        </w:rPr>
        <w:t>4.技术服务质量要求：</w:t>
      </w:r>
      <w:r>
        <w:rPr>
          <w:sz w:val="24"/>
          <w:u w:val="single"/>
        </w:rPr>
        <w:t xml:space="preserve">             </w:t>
      </w:r>
      <w:r>
        <w:rPr>
          <w:sz w:val="24"/>
        </w:rPr>
        <w:t>。</w:t>
      </w:r>
    </w:p>
    <w:p>
      <w:pPr>
        <w:pStyle w:val="null3"/>
        <w:ind w:firstLine="482"/>
        <w:jc w:val="both"/>
      </w:pPr>
      <w:r>
        <w:rPr>
          <w:sz w:val="24"/>
          <w:b/>
        </w:rPr>
        <w:t>第三条：为保证乙方有效进行技术服务工作，甲方应当向乙方提供下列工作条件和协作事项：</w:t>
      </w:r>
    </w:p>
    <w:p>
      <w:pPr>
        <w:pStyle w:val="null3"/>
        <w:ind w:firstLine="480"/>
        <w:jc w:val="both"/>
      </w:pPr>
      <w:r>
        <w:rPr>
          <w:sz w:val="24"/>
        </w:rPr>
        <w:t>1.提供技术资料：</w:t>
      </w:r>
      <w:r>
        <w:rPr>
          <w:sz w:val="24"/>
          <w:u w:val="single"/>
        </w:rPr>
        <w:t>与本项目相关的文件资料</w:t>
      </w:r>
      <w:r>
        <w:rPr>
          <w:sz w:val="24"/>
        </w:rPr>
        <w:t>。</w:t>
      </w:r>
    </w:p>
    <w:p>
      <w:pPr>
        <w:pStyle w:val="null3"/>
        <w:ind w:firstLine="480"/>
        <w:jc w:val="both"/>
      </w:pPr>
      <w:r>
        <w:rPr>
          <w:sz w:val="24"/>
        </w:rPr>
        <w:t>2.提供工作条件：</w:t>
      </w:r>
      <w:r>
        <w:rPr>
          <w:sz w:val="24"/>
          <w:u w:val="single"/>
        </w:rPr>
        <w:t>负责协调获取相关资料、技术服务费申请、组织工作成果的审查验收等</w:t>
      </w:r>
      <w:r>
        <w:rPr>
          <w:sz w:val="24"/>
        </w:rPr>
        <w:t>。</w:t>
      </w:r>
    </w:p>
    <w:p>
      <w:pPr>
        <w:pStyle w:val="null3"/>
        <w:ind w:firstLine="480"/>
        <w:jc w:val="both"/>
      </w:pPr>
      <w:r>
        <w:rPr>
          <w:sz w:val="24"/>
        </w:rPr>
        <w:t>3.其他：</w:t>
      </w:r>
      <w:r>
        <w:rPr>
          <w:sz w:val="24"/>
          <w:u w:val="single"/>
        </w:rPr>
        <w:t>无</w:t>
      </w:r>
      <w:r>
        <w:rPr>
          <w:sz w:val="24"/>
        </w:rPr>
        <w:t>。</w:t>
      </w:r>
    </w:p>
    <w:p>
      <w:pPr>
        <w:pStyle w:val="null3"/>
        <w:ind w:firstLine="480"/>
        <w:jc w:val="both"/>
      </w:pPr>
      <w:r>
        <w:rPr>
          <w:sz w:val="24"/>
        </w:rPr>
        <w:t>4.甲方提供上述工作条件和协作事项的时间及方式：</w:t>
      </w:r>
      <w:r>
        <w:rPr>
          <w:sz w:val="24"/>
          <w:u w:val="single"/>
        </w:rPr>
        <w:t>双方签订合同后，具体方式由双方协商</w:t>
      </w:r>
      <w:r>
        <w:rPr>
          <w:sz w:val="24"/>
        </w:rPr>
        <w:t>。</w:t>
      </w:r>
    </w:p>
    <w:p>
      <w:pPr>
        <w:pStyle w:val="null3"/>
        <w:ind w:firstLine="482"/>
        <w:jc w:val="both"/>
      </w:pPr>
      <w:r>
        <w:rPr>
          <w:sz w:val="24"/>
          <w:b/>
        </w:rPr>
        <w:t>第四条：甲方向乙方支付技术服务报酬及支付方式为：</w:t>
      </w:r>
    </w:p>
    <w:p>
      <w:pPr>
        <w:pStyle w:val="null3"/>
        <w:ind w:firstLine="480"/>
        <w:jc w:val="both"/>
      </w:pPr>
      <w:r>
        <w:rPr>
          <w:sz w:val="24"/>
        </w:rPr>
        <w:t>合同总金额为：人民币(大写)：</w:t>
      </w:r>
      <w:r>
        <w:rPr>
          <w:sz w:val="24"/>
          <w:u w:val="single"/>
        </w:rPr>
        <w:t xml:space="preserve">           </w:t>
      </w:r>
      <w:r>
        <w:rPr>
          <w:sz w:val="24"/>
        </w:rPr>
        <w:t>元整；(小写)：¥</w:t>
      </w:r>
      <w:r>
        <w:rPr>
          <w:sz w:val="24"/>
          <w:u w:val="single"/>
        </w:rPr>
        <w:t xml:space="preserve">           </w:t>
      </w:r>
      <w:r>
        <w:rPr>
          <w:sz w:val="24"/>
        </w:rPr>
        <w:t>元。不含税金额为：</w:t>
      </w:r>
      <w:r>
        <w:rPr>
          <w:sz w:val="24"/>
          <w:u w:val="single"/>
        </w:rPr>
        <w:t xml:space="preserve">           </w:t>
      </w:r>
      <w:r>
        <w:rPr>
          <w:sz w:val="24"/>
        </w:rPr>
        <w:t>元整，税率为</w:t>
      </w:r>
      <w:r>
        <w:rPr>
          <w:sz w:val="24"/>
          <w:u w:val="single"/>
        </w:rPr>
        <w:t xml:space="preserve">           </w:t>
      </w:r>
      <w:r>
        <w:rPr>
          <w:sz w:val="24"/>
        </w:rPr>
        <w:t>。</w:t>
      </w:r>
    </w:p>
    <w:p>
      <w:pPr>
        <w:pStyle w:val="null3"/>
        <w:ind w:firstLine="480"/>
        <w:jc w:val="both"/>
      </w:pPr>
      <w:r>
        <w:rPr>
          <w:sz w:val="24"/>
        </w:rPr>
        <w:t>以上费用包括所有图片、文件复印费、长途电话、传真/邮递、及电子文件打印、专家评审费等合同范围内所需的费用。</w:t>
      </w:r>
    </w:p>
    <w:p>
      <w:pPr>
        <w:pStyle w:val="null3"/>
        <w:ind w:firstLine="480"/>
        <w:jc w:val="both"/>
      </w:pPr>
      <w:r>
        <w:rPr>
          <w:sz w:val="24"/>
        </w:rPr>
        <w:t>1.合同签订后，在收到发票后5个工作日内按照《广州市本级财政直接支付用款申请办事指南》办理支付手续，支付项目合同总额的30%，即人民币(大写)：</w:t>
      </w:r>
      <w:r>
        <w:rPr>
          <w:sz w:val="24"/>
          <w:u w:val="single"/>
        </w:rPr>
        <w:t xml:space="preserve">           </w:t>
      </w:r>
      <w:r>
        <w:rPr>
          <w:sz w:val="24"/>
        </w:rPr>
        <w:t>元整；(小写)：¥</w:t>
      </w:r>
      <w:r>
        <w:rPr>
          <w:sz w:val="24"/>
          <w:u w:val="single"/>
        </w:rPr>
        <w:t xml:space="preserve">           </w:t>
      </w:r>
      <w:r>
        <w:rPr>
          <w:sz w:val="24"/>
        </w:rPr>
        <w:t>元。</w:t>
      </w:r>
    </w:p>
    <w:p>
      <w:pPr>
        <w:pStyle w:val="null3"/>
        <w:ind w:firstLine="480"/>
        <w:jc w:val="both"/>
      </w:pPr>
      <w:r>
        <w:rPr>
          <w:sz w:val="24"/>
        </w:rPr>
        <w:t>2.项目通过专家评审会或局业务会审查后，在收到发票后5个工作日内按照《广州市本级财政直接支付用款申请办事指南》办理支付手续，由乙方向甲方申请支付项目合同总额的20%，即人民币(大写)：</w:t>
      </w:r>
      <w:r>
        <w:rPr>
          <w:sz w:val="24"/>
          <w:u w:val="single"/>
        </w:rPr>
        <w:t xml:space="preserve">           </w:t>
      </w:r>
      <w:r>
        <w:rPr>
          <w:sz w:val="24"/>
        </w:rPr>
        <w:t>元整；(小写)：¥</w:t>
      </w:r>
      <w:r>
        <w:rPr>
          <w:sz w:val="24"/>
          <w:u w:val="single"/>
        </w:rPr>
        <w:t xml:space="preserve">           </w:t>
      </w:r>
      <w:r>
        <w:rPr>
          <w:sz w:val="24"/>
        </w:rPr>
        <w:t>元。</w:t>
      </w:r>
    </w:p>
    <w:p>
      <w:pPr>
        <w:pStyle w:val="null3"/>
        <w:ind w:firstLine="480"/>
        <w:jc w:val="both"/>
      </w:pPr>
      <w:r>
        <w:rPr>
          <w:sz w:val="24"/>
        </w:rPr>
        <w:t>3.项目通过局党组会或上级主管部门审查后，在收到发票后5个工作日内按照《广州市本级财政直接支付用款申请办事指南》办理支付手续，由乙方向甲方申请支付项目合同总额的30%，即人民币(大写)：</w:t>
      </w:r>
      <w:r>
        <w:rPr>
          <w:sz w:val="24"/>
          <w:u w:val="single"/>
        </w:rPr>
        <w:t xml:space="preserve">           </w:t>
      </w:r>
      <w:r>
        <w:rPr>
          <w:sz w:val="24"/>
        </w:rPr>
        <w:t>元整；(小写)：¥</w:t>
      </w:r>
      <w:r>
        <w:rPr>
          <w:sz w:val="24"/>
          <w:u w:val="single"/>
        </w:rPr>
        <w:t xml:space="preserve">           </w:t>
      </w:r>
      <w:r>
        <w:rPr>
          <w:sz w:val="24"/>
        </w:rPr>
        <w:t>元。</w:t>
      </w:r>
    </w:p>
    <w:p>
      <w:pPr>
        <w:pStyle w:val="null3"/>
        <w:ind w:firstLine="480"/>
        <w:jc w:val="both"/>
      </w:pPr>
      <w:r>
        <w:rPr>
          <w:sz w:val="24"/>
        </w:rPr>
        <w:t>4.项目通过甲方验收结题或印发实施或取得批复后，在收到发票后5个工作日内按照《广州市本级财政直接支付用款申请办事指南》办理支付手续，由乙方向甲方申请支付项目合同的剩余款项，即人民币(大写)：</w:t>
      </w:r>
      <w:r>
        <w:rPr>
          <w:sz w:val="24"/>
          <w:u w:val="single"/>
        </w:rPr>
        <w:t xml:space="preserve">           </w:t>
      </w:r>
      <w:r>
        <w:rPr>
          <w:sz w:val="24"/>
        </w:rPr>
        <w:t>元整；(小写)：¥</w:t>
      </w:r>
      <w:r>
        <w:rPr>
          <w:sz w:val="24"/>
          <w:u w:val="single"/>
        </w:rPr>
        <w:t xml:space="preserve">           </w:t>
      </w:r>
      <w:r>
        <w:rPr>
          <w:sz w:val="24"/>
        </w:rPr>
        <w:t>元。</w:t>
      </w:r>
    </w:p>
    <w:p>
      <w:pPr>
        <w:pStyle w:val="null3"/>
        <w:ind w:firstLine="480"/>
        <w:jc w:val="both"/>
      </w:pPr>
      <w:r>
        <w:rPr>
          <w:sz w:val="24"/>
        </w:rPr>
        <w:t>5.甲方按照合同金额向乙方支付技术服务费，该费用已包括本项目相关的所有成本、费用、相关税费和合理利润等一切费用。</w:t>
      </w:r>
    </w:p>
    <w:p>
      <w:pPr>
        <w:pStyle w:val="null3"/>
        <w:ind w:firstLine="480"/>
        <w:jc w:val="both"/>
      </w:pPr>
      <w:r>
        <w:rPr>
          <w:sz w:val="24"/>
        </w:rPr>
        <w:t>6.</w:t>
      </w:r>
      <w:r>
        <w:rPr>
          <w:sz w:val="24"/>
        </w:rPr>
        <w:t>根据《广东省自然资源厅关于进一步明确全域土地综合整治永久基本农田布局调整方案编制、审查和报备有关事项的通知（征求意见稿）》等相关政策文件，永久基本农田布局调整方案应当随全域土地综合整治项目实施方案一并逐级上报审查备案。根据调整方案具体程序收款节点设置。</w:t>
      </w:r>
    </w:p>
    <w:p>
      <w:pPr>
        <w:pStyle w:val="null3"/>
        <w:ind w:firstLine="480"/>
        <w:jc w:val="both"/>
      </w:pPr>
      <w:r>
        <w:rPr>
          <w:sz w:val="24"/>
        </w:rPr>
        <w:t>上述支付指甲方在收到乙方提供付款所需资料后在规定时间内向黄埔区财政局提交财政直接支付申请，具体付款时间以黄埔区财政局具体拨款时间为准。甲方付款前，乙方应向甲方提供合法有效的等额发票，否则甲方有权拒绝付款而不构成违约。</w:t>
      </w:r>
    </w:p>
    <w:p>
      <w:pPr>
        <w:pStyle w:val="null3"/>
        <w:ind w:firstLine="480"/>
        <w:jc w:val="both"/>
      </w:pPr>
      <w:r>
        <w:rPr>
          <w:sz w:val="24"/>
        </w:rPr>
        <w:t>7.乙方开户银行名称、地址和账号为：</w:t>
      </w:r>
    </w:p>
    <w:p>
      <w:pPr>
        <w:pStyle w:val="null3"/>
        <w:ind w:firstLine="480"/>
        <w:jc w:val="both"/>
      </w:pPr>
      <w:r>
        <w:rPr>
          <w:sz w:val="24"/>
        </w:rPr>
        <w:t>开户银行：</w:t>
      </w:r>
    </w:p>
    <w:p>
      <w:pPr>
        <w:pStyle w:val="null3"/>
        <w:ind w:firstLine="480"/>
        <w:jc w:val="both"/>
      </w:pPr>
      <w:r>
        <w:rPr>
          <w:sz w:val="24"/>
        </w:rPr>
        <w:t>地址：</w:t>
      </w:r>
    </w:p>
    <w:p>
      <w:pPr>
        <w:pStyle w:val="null3"/>
        <w:ind w:firstLine="480"/>
        <w:jc w:val="both"/>
      </w:pPr>
      <w:r>
        <w:rPr>
          <w:sz w:val="24"/>
        </w:rPr>
        <w:t>账号：</w:t>
      </w:r>
    </w:p>
    <w:p>
      <w:pPr>
        <w:pStyle w:val="null3"/>
        <w:ind w:firstLine="482"/>
        <w:jc w:val="both"/>
      </w:pPr>
      <w:r>
        <w:rPr>
          <w:sz w:val="24"/>
          <w:b/>
        </w:rPr>
        <w:t>第五条：双方确定因履行本合同应遵守的保密义务如下：</w:t>
      </w:r>
    </w:p>
    <w:p>
      <w:pPr>
        <w:pStyle w:val="null3"/>
        <w:ind w:firstLine="480"/>
        <w:jc w:val="both"/>
      </w:pPr>
      <w:r>
        <w:rPr>
          <w:sz w:val="24"/>
        </w:rPr>
        <w:t>甲方：</w:t>
      </w:r>
    </w:p>
    <w:p>
      <w:pPr>
        <w:pStyle w:val="null3"/>
        <w:ind w:firstLine="480"/>
        <w:jc w:val="both"/>
      </w:pPr>
      <w:r>
        <w:rPr>
          <w:sz w:val="24"/>
        </w:rPr>
        <w:t xml:space="preserve">1.保密内容（包括技术信息和经营信息）： </w:t>
      </w:r>
      <w:r>
        <w:rPr>
          <w:sz w:val="24"/>
          <w:u w:val="single"/>
        </w:rPr>
        <w:t>与本次工作有关的信息和资料</w:t>
      </w:r>
      <w:r>
        <w:rPr>
          <w:sz w:val="24"/>
        </w:rPr>
        <w:t>；</w:t>
      </w:r>
    </w:p>
    <w:p>
      <w:pPr>
        <w:pStyle w:val="null3"/>
        <w:ind w:firstLine="480"/>
        <w:jc w:val="both"/>
      </w:pPr>
      <w:r>
        <w:rPr>
          <w:sz w:val="24"/>
        </w:rPr>
        <w:t>2.涉密人员范围：</w:t>
      </w:r>
      <w:r>
        <w:rPr>
          <w:sz w:val="24"/>
          <w:u w:val="single"/>
        </w:rPr>
        <w:t xml:space="preserve"> 参与本次工作的全体人员</w:t>
      </w:r>
      <w:r>
        <w:rPr>
          <w:sz w:val="24"/>
        </w:rPr>
        <w:t>；</w:t>
      </w:r>
    </w:p>
    <w:p>
      <w:pPr>
        <w:pStyle w:val="null3"/>
        <w:ind w:firstLine="480"/>
        <w:jc w:val="both"/>
      </w:pPr>
      <w:r>
        <w:rPr>
          <w:sz w:val="24"/>
        </w:rPr>
        <w:t>3.保密期限：</w:t>
      </w:r>
      <w:r>
        <w:rPr>
          <w:sz w:val="24"/>
          <w:u w:val="single"/>
        </w:rPr>
        <w:t>按照法律规定执行</w:t>
      </w:r>
      <w:r>
        <w:rPr>
          <w:sz w:val="24"/>
        </w:rPr>
        <w:t>；</w:t>
      </w:r>
    </w:p>
    <w:p>
      <w:pPr>
        <w:pStyle w:val="null3"/>
        <w:ind w:firstLine="480"/>
        <w:jc w:val="both"/>
      </w:pPr>
      <w:r>
        <w:rPr>
          <w:sz w:val="24"/>
        </w:rPr>
        <w:t>4.泄密责任：</w:t>
      </w:r>
      <w:r>
        <w:rPr>
          <w:sz w:val="24"/>
          <w:u w:val="single"/>
        </w:rPr>
        <w:t>按照法律规定承担有关责任</w:t>
      </w:r>
      <w:r>
        <w:rPr>
          <w:sz w:val="24"/>
        </w:rPr>
        <w:t>。</w:t>
      </w:r>
    </w:p>
    <w:p>
      <w:pPr>
        <w:pStyle w:val="null3"/>
        <w:ind w:firstLine="480"/>
        <w:jc w:val="both"/>
      </w:pPr>
      <w:r>
        <w:rPr>
          <w:sz w:val="24"/>
        </w:rPr>
        <w:t>乙方：</w:t>
      </w:r>
    </w:p>
    <w:p>
      <w:pPr>
        <w:pStyle w:val="null3"/>
        <w:ind w:firstLine="480"/>
        <w:jc w:val="both"/>
      </w:pPr>
      <w:r>
        <w:rPr>
          <w:sz w:val="24"/>
        </w:rPr>
        <w:t>1.保密内容（包括技术信息和经营信息）：</w:t>
      </w:r>
      <w:r>
        <w:rPr>
          <w:sz w:val="24"/>
          <w:u w:val="single"/>
        </w:rPr>
        <w:t>必须对本项目的背景材料、相关技术资料和成果等一切有关信息承担保密责任。本项目涉及的保密条款并不因本项目合同的终止就失效，该条款对各方依旧有法律约束力</w:t>
      </w:r>
      <w:r>
        <w:rPr>
          <w:sz w:val="24"/>
        </w:rPr>
        <w:t>；</w:t>
      </w:r>
    </w:p>
    <w:p>
      <w:pPr>
        <w:pStyle w:val="null3"/>
        <w:ind w:firstLine="480"/>
        <w:jc w:val="both"/>
      </w:pPr>
      <w:r>
        <w:rPr>
          <w:sz w:val="24"/>
        </w:rPr>
        <w:t>2.涉密人员范围：</w:t>
      </w:r>
      <w:r>
        <w:rPr>
          <w:sz w:val="24"/>
          <w:u w:val="single"/>
        </w:rPr>
        <w:t>参与本次工作的全体人员</w:t>
      </w:r>
      <w:r>
        <w:rPr>
          <w:sz w:val="24"/>
        </w:rPr>
        <w:t>；</w:t>
      </w:r>
    </w:p>
    <w:p>
      <w:pPr>
        <w:pStyle w:val="null3"/>
        <w:ind w:firstLine="480"/>
        <w:jc w:val="both"/>
      </w:pPr>
      <w:r>
        <w:rPr>
          <w:sz w:val="24"/>
        </w:rPr>
        <w:t>3.保密期限：</w:t>
      </w:r>
      <w:r>
        <w:rPr>
          <w:sz w:val="24"/>
          <w:u w:val="single"/>
        </w:rPr>
        <w:t>按照法律规定执行</w:t>
      </w:r>
      <w:r>
        <w:rPr>
          <w:sz w:val="24"/>
        </w:rPr>
        <w:t>；</w:t>
      </w:r>
    </w:p>
    <w:p>
      <w:pPr>
        <w:pStyle w:val="null3"/>
        <w:ind w:firstLine="480"/>
        <w:jc w:val="both"/>
      </w:pPr>
      <w:r>
        <w:rPr>
          <w:sz w:val="24"/>
        </w:rPr>
        <w:t>4.泄密责任：</w:t>
      </w:r>
      <w:r>
        <w:rPr>
          <w:sz w:val="24"/>
          <w:u w:val="single"/>
        </w:rPr>
        <w:t>按照法律规定承担有关责任</w:t>
      </w:r>
      <w:r>
        <w:rPr>
          <w:sz w:val="24"/>
        </w:rPr>
        <w:t>。</w:t>
      </w:r>
    </w:p>
    <w:p>
      <w:pPr>
        <w:pStyle w:val="null3"/>
        <w:ind w:firstLine="482"/>
        <w:jc w:val="both"/>
      </w:pPr>
      <w:r>
        <w:rPr>
          <w:sz w:val="24"/>
          <w:b/>
        </w:rPr>
        <w:t>第六条</w:t>
      </w:r>
      <w:r>
        <w:rPr>
          <w:sz w:val="24"/>
        </w:rPr>
        <w:t>：本合同的变更必须由双方协商一致，并以书面形式确定。但有下列情形之一的，一方可以向另一方提出变更合同权利与义务的请求，另一方应当在</w:t>
      </w:r>
      <w:r>
        <w:rPr>
          <w:sz w:val="24"/>
          <w:u w:val="single"/>
        </w:rPr>
        <w:t xml:space="preserve"> 7 </w:t>
      </w:r>
      <w:r>
        <w:rPr>
          <w:sz w:val="24"/>
        </w:rPr>
        <w:t>日内予以答复；逾期未予答复的，视为同意：</w:t>
      </w:r>
    </w:p>
    <w:p>
      <w:pPr>
        <w:pStyle w:val="null3"/>
        <w:ind w:firstLine="480"/>
        <w:jc w:val="both"/>
      </w:pPr>
      <w:r>
        <w:rPr>
          <w:sz w:val="24"/>
        </w:rPr>
        <w:t>1.</w:t>
      </w:r>
      <w:r>
        <w:rPr>
          <w:sz w:val="24"/>
          <w:u w:val="single"/>
        </w:rPr>
        <w:t>国家法律、法规、政策、技术标准和规范、政府计划调整</w:t>
      </w:r>
      <w:r>
        <w:rPr>
          <w:sz w:val="24"/>
        </w:rPr>
        <w:t>；</w:t>
      </w:r>
    </w:p>
    <w:p>
      <w:pPr>
        <w:pStyle w:val="null3"/>
        <w:ind w:firstLine="480"/>
        <w:jc w:val="both"/>
      </w:pPr>
      <w:r>
        <w:rPr>
          <w:sz w:val="24"/>
        </w:rPr>
        <w:t>2.</w:t>
      </w:r>
      <w:r>
        <w:rPr>
          <w:sz w:val="24"/>
          <w:u w:val="single"/>
        </w:rPr>
        <w:t>项目任务书变更</w:t>
      </w:r>
      <w:r>
        <w:rPr>
          <w:sz w:val="24"/>
        </w:rPr>
        <w:t>。</w:t>
      </w:r>
    </w:p>
    <w:p>
      <w:pPr>
        <w:pStyle w:val="null3"/>
        <w:ind w:firstLine="482"/>
        <w:jc w:val="both"/>
      </w:pPr>
      <w:r>
        <w:rPr>
          <w:sz w:val="24"/>
          <w:b/>
        </w:rPr>
        <w:t>第七条：双方确定以下列标准和方式对乙方的技术服务工作成果进行验收：</w:t>
      </w:r>
    </w:p>
    <w:p>
      <w:pPr>
        <w:pStyle w:val="null3"/>
        <w:ind w:firstLine="480"/>
        <w:jc w:val="both"/>
      </w:pPr>
      <w:r>
        <w:rPr>
          <w:sz w:val="24"/>
        </w:rPr>
        <w:t>1.乙方完成技术服务工作的形式：</w:t>
      </w:r>
      <w:r>
        <w:rPr>
          <w:sz w:val="24"/>
          <w:u w:val="single"/>
        </w:rPr>
        <w:t>依据项目需求和甲方要求提交工作成果。</w:t>
      </w:r>
    </w:p>
    <w:p>
      <w:pPr>
        <w:pStyle w:val="null3"/>
        <w:ind w:firstLine="480"/>
        <w:jc w:val="both"/>
      </w:pPr>
      <w:r>
        <w:rPr>
          <w:sz w:val="24"/>
        </w:rPr>
        <w:t>2.技术服务工作成果的验收标准：</w:t>
      </w:r>
      <w:r>
        <w:rPr>
          <w:sz w:val="24"/>
          <w:u w:val="single"/>
        </w:rPr>
        <w:t>成果必须符合国家及省、市现行有效的相关规定、技术标准、管理标准和设计规范及本需求中工作内容要求等有关章节的规定。</w:t>
      </w:r>
    </w:p>
    <w:p>
      <w:pPr>
        <w:pStyle w:val="null3"/>
        <w:ind w:firstLine="480"/>
        <w:jc w:val="both"/>
      </w:pPr>
      <w:r>
        <w:rPr>
          <w:sz w:val="24"/>
        </w:rPr>
        <w:t>3.技术服务工作成果的验收方法：</w:t>
      </w:r>
      <w:r>
        <w:rPr>
          <w:sz w:val="24"/>
          <w:u w:val="single"/>
        </w:rPr>
        <w:t>通过相关审批部门组织的验收。</w:t>
      </w:r>
    </w:p>
    <w:p>
      <w:pPr>
        <w:pStyle w:val="null3"/>
        <w:ind w:firstLine="480"/>
        <w:jc w:val="both"/>
      </w:pPr>
      <w:r>
        <w:rPr>
          <w:sz w:val="24"/>
        </w:rPr>
        <w:t>4.验收的时间和地点：</w:t>
      </w:r>
      <w:r>
        <w:rPr>
          <w:sz w:val="24"/>
          <w:u w:val="single"/>
        </w:rPr>
        <w:t>由甲方另行确定。</w:t>
      </w:r>
    </w:p>
    <w:p>
      <w:pPr>
        <w:pStyle w:val="null3"/>
        <w:ind w:firstLine="482"/>
        <w:jc w:val="both"/>
      </w:pPr>
      <w:r>
        <w:rPr>
          <w:sz w:val="24"/>
          <w:b/>
        </w:rPr>
        <w:t>第八条 项目人员要求</w:t>
      </w:r>
    </w:p>
    <w:p>
      <w:pPr>
        <w:pStyle w:val="null3"/>
        <w:ind w:firstLine="480"/>
        <w:jc w:val="both"/>
      </w:pPr>
      <w:r>
        <w:rPr>
          <w:sz w:val="24"/>
        </w:rPr>
        <w:t>双方确定，在本合同有效期内，甲方指定</w:t>
      </w:r>
      <w:r>
        <w:rPr>
          <w:sz w:val="24"/>
          <w:u w:val="single"/>
        </w:rPr>
        <w:t xml:space="preserve">    </w:t>
      </w:r>
      <w:r>
        <w:rPr>
          <w:sz w:val="24"/>
        </w:rPr>
        <w:t>为甲方项目联系人，乙方指定</w:t>
      </w:r>
      <w:r>
        <w:rPr>
          <w:sz w:val="24"/>
          <w:u w:val="single"/>
        </w:rPr>
        <w:t xml:space="preserve">    </w:t>
      </w:r>
      <w:r>
        <w:rPr>
          <w:sz w:val="24"/>
        </w:rPr>
        <w:t>为本项目负责人、为本项目联系人，相关责任如下：</w:t>
      </w:r>
    </w:p>
    <w:p>
      <w:pPr>
        <w:pStyle w:val="null3"/>
        <w:ind w:firstLine="480"/>
        <w:jc w:val="both"/>
      </w:pPr>
      <w:r>
        <w:rPr>
          <w:sz w:val="24"/>
        </w:rPr>
        <w:t>1.甲方项目联系人负责经费拨付的联络、协调；配合乙方工作，进行本次工作的协调跟进，确认并接收工作成果；尽快、及时组织工作成果的审查验收。</w:t>
      </w:r>
    </w:p>
    <w:p>
      <w:pPr>
        <w:pStyle w:val="null3"/>
        <w:ind w:firstLine="480"/>
        <w:jc w:val="both"/>
      </w:pPr>
      <w:r>
        <w:rPr>
          <w:sz w:val="24"/>
        </w:rPr>
        <w:t>2.乙方项目负责人负责统筹项目推进、成果撰写、会议汇报、项目沟通等。</w:t>
      </w:r>
    </w:p>
    <w:p>
      <w:pPr>
        <w:pStyle w:val="null3"/>
        <w:ind w:firstLine="480"/>
        <w:jc w:val="both"/>
      </w:pPr>
      <w:r>
        <w:rPr>
          <w:sz w:val="24"/>
        </w:rPr>
        <w:t>3.乙方项目联系人定期向甲方报告工作进度及完成情况，按约定期限提交工作成果。</w:t>
      </w:r>
    </w:p>
    <w:p>
      <w:pPr>
        <w:pStyle w:val="null3"/>
        <w:ind w:firstLine="480"/>
        <w:jc w:val="both"/>
      </w:pPr>
      <w:r>
        <w:rPr>
          <w:sz w:val="24"/>
        </w:rPr>
        <w:t>4.一方变更项目负责人或联系人的，应当及时以书面形式通知另一方，未及时通知并影响本合同履行或造成损失的，应承担相应的责任。</w:t>
      </w:r>
    </w:p>
    <w:p>
      <w:pPr>
        <w:pStyle w:val="null3"/>
        <w:ind w:firstLine="482"/>
        <w:jc w:val="both"/>
      </w:pPr>
      <w:r>
        <w:rPr>
          <w:sz w:val="24"/>
          <w:b/>
        </w:rPr>
        <w:t>第九条 双方确定：</w:t>
      </w:r>
    </w:p>
    <w:p>
      <w:pPr>
        <w:pStyle w:val="null3"/>
        <w:ind w:firstLine="480"/>
        <w:jc w:val="both"/>
      </w:pPr>
      <w:r>
        <w:rPr>
          <w:sz w:val="24"/>
        </w:rPr>
        <w:t>1.在本合同有效期内，甲方利用乙方提交的技术服务工作成果所完成的新的技术成果，归甲方所有。</w:t>
      </w:r>
    </w:p>
    <w:p>
      <w:pPr>
        <w:pStyle w:val="null3"/>
        <w:ind w:firstLine="480"/>
        <w:jc w:val="both"/>
      </w:pPr>
      <w:r>
        <w:rPr>
          <w:sz w:val="24"/>
        </w:rPr>
        <w:t>2.在本合同有效期内，乙方利用甲方提供的技术资料和工作条件所完成的新的技术成果，归甲方所有。</w:t>
      </w:r>
    </w:p>
    <w:p>
      <w:pPr>
        <w:pStyle w:val="null3"/>
        <w:ind w:firstLine="480"/>
        <w:jc w:val="both"/>
      </w:pPr>
      <w:r>
        <w:rPr>
          <w:sz w:val="24"/>
        </w:rPr>
        <w:t>3.项目成果署名权归双方共有，版权归甲方所有。甲方有权在成果审定后公开展示成果，并通过传播、媒介、专业杂志、书刊及其他形式介绍、展示、评价成果。乙方未经甲方同意无权以任何形式向社会公开展示研究成果、宣传和奖项申报。</w:t>
      </w:r>
    </w:p>
    <w:p>
      <w:pPr>
        <w:pStyle w:val="null3"/>
        <w:ind w:firstLine="482"/>
        <w:jc w:val="both"/>
      </w:pPr>
      <w:r>
        <w:rPr>
          <w:sz w:val="24"/>
          <w:b/>
        </w:rPr>
        <w:t>第十条 双方确定，按以下约定承担各自的违约责任：</w:t>
      </w:r>
    </w:p>
    <w:p>
      <w:pPr>
        <w:pStyle w:val="null3"/>
        <w:ind w:firstLine="480"/>
        <w:jc w:val="both"/>
      </w:pPr>
      <w:r>
        <w:rPr>
          <w:sz w:val="24"/>
        </w:rPr>
        <w:t>1.甲方未及时提供基础资料、组织成果审查以致影响乙方工作进度的，甲方应当积极采取补救措施，保障乙方按合同收取经费的权益，具体由双方协商。</w:t>
      </w:r>
    </w:p>
    <w:p>
      <w:pPr>
        <w:pStyle w:val="null3"/>
        <w:ind w:firstLine="480"/>
        <w:jc w:val="both"/>
      </w:pPr>
      <w:r>
        <w:rPr>
          <w:sz w:val="24"/>
        </w:rPr>
        <w:t>2.合同签订后，如乙方擅自中途停止或解除合同，乙方向甲方退回已付的全部合同款项，并向甲方支付本合同总价的10%违约金。</w:t>
      </w:r>
    </w:p>
    <w:p>
      <w:pPr>
        <w:pStyle w:val="null3"/>
        <w:ind w:firstLine="480"/>
        <w:jc w:val="both"/>
      </w:pPr>
      <w:r>
        <w:rPr>
          <w:sz w:val="24"/>
        </w:rPr>
        <w:t>3.乙方未按时提交项目报告，从逾期次日起，每日向甲方偿付该阶段服务费应付金额千分之一的违约金，违约金额不超过合同金额的10%。逾期累计超过60天，甲方有权解除本合同，乙方应向甲方退回已收取的全部款项。如因此造成甲方损失的，乙方应当承担赔偿责任。</w:t>
      </w:r>
    </w:p>
    <w:p>
      <w:pPr>
        <w:pStyle w:val="null3"/>
        <w:ind w:firstLine="480"/>
        <w:jc w:val="both"/>
      </w:pPr>
      <w:r>
        <w:rPr>
          <w:sz w:val="24"/>
        </w:rPr>
        <w:t>4.乙方提交的项目报告质量经甲方审查认为不合格的，乙方应当负责根据甲方的要求进行修改并无偿重新提供报告或无偿采取其他补救措施，直至达到本合同约定的要求。由此造成延迟提交项目报告的，乙方应当按照本合同第十条第3 点约定向甲方支付违约金。甲方付款时间可以相应顺延，且无需承担任何法律责任。</w:t>
      </w:r>
    </w:p>
    <w:p>
      <w:pPr>
        <w:pStyle w:val="null3"/>
        <w:ind w:firstLine="480"/>
        <w:jc w:val="both"/>
      </w:pPr>
      <w:r>
        <w:rPr>
          <w:sz w:val="24"/>
        </w:rPr>
        <w:t>5.因乙方未按时提交项目报告，或者提交项目报告质量不合格的，除按本合同第十条第3、4点承担责任外，所造成的其他后果也均由乙方承担。如造成本项目剩余资金被财政部门收回的，乙方同意免除甲方支付剩余款项的义务，同时乙方仍应当继续按照本合同要求完成本项目直至最终报告通过甲方验收，否则，乙方应向甲方退回已收取的全部款项，并向甲方支付合同服务费总额10%的违约金。因项目报告不符合合同约定要求造成的任何后果均由乙方承担，包括但不限于承担因此造成的直接损失赔偿责任。</w:t>
      </w:r>
    </w:p>
    <w:p>
      <w:pPr>
        <w:pStyle w:val="null3"/>
        <w:ind w:firstLine="480"/>
        <w:jc w:val="both"/>
      </w:pPr>
      <w:r>
        <w:rPr>
          <w:sz w:val="24"/>
        </w:rPr>
        <w:t>6.未经甲乙双方同意，任何一方不得随意更改合同要求，未遵守用户需求书要求及合同要求或未经甲乙双方同意变更用户需求书及合同要求的须承担支付合同服务费总额5%的违约金责任。</w:t>
      </w:r>
    </w:p>
    <w:p>
      <w:pPr>
        <w:pStyle w:val="null3"/>
        <w:ind w:firstLine="480"/>
        <w:jc w:val="both"/>
      </w:pPr>
      <w:r>
        <w:rPr>
          <w:sz w:val="24"/>
        </w:rPr>
        <w:t>7.甲乙双方任一方如若出现未按照本合同第五条遵守相应的保密义务，则按照法律规定承担有关责任。</w:t>
      </w:r>
    </w:p>
    <w:p>
      <w:pPr>
        <w:pStyle w:val="null3"/>
        <w:ind w:firstLine="480"/>
        <w:jc w:val="both"/>
      </w:pPr>
      <w:r>
        <w:rPr>
          <w:sz w:val="24"/>
        </w:rPr>
        <w:t>8.乙方不得将本合同项目转让、转包给他人，也不得将本合同项目肢解后分别向他人转让、转包；未经甲方同意，乙方不得将本合同项目分包给他人。乙方违反上述规定，甲方有权解除本合同，乙方应向甲方退回已收取的全部合同款项，并向甲方支付本合同总价10%的违约金。</w:t>
      </w:r>
    </w:p>
    <w:p>
      <w:pPr>
        <w:pStyle w:val="null3"/>
        <w:ind w:firstLine="482"/>
        <w:jc w:val="both"/>
      </w:pPr>
      <w:r>
        <w:rPr>
          <w:sz w:val="24"/>
          <w:b/>
        </w:rPr>
        <w:t>第十一条 双方确定，出现下列情形，致使本合同的履行成为不必要或不可能的，可以解除本合同：</w:t>
      </w:r>
    </w:p>
    <w:p>
      <w:pPr>
        <w:pStyle w:val="null3"/>
        <w:ind w:firstLine="480"/>
        <w:jc w:val="both"/>
      </w:pPr>
      <w:r>
        <w:rPr>
          <w:sz w:val="24"/>
        </w:rPr>
        <w:t>1.</w:t>
      </w:r>
      <w:r>
        <w:rPr>
          <w:sz w:val="24"/>
          <w:u w:val="single"/>
        </w:rPr>
        <w:t>发生不可抗力</w:t>
      </w:r>
      <w:r>
        <w:rPr>
          <w:sz w:val="24"/>
        </w:rPr>
        <w:t>；</w:t>
      </w:r>
    </w:p>
    <w:p>
      <w:pPr>
        <w:pStyle w:val="null3"/>
        <w:ind w:firstLine="480"/>
        <w:jc w:val="both"/>
      </w:pPr>
      <w:r>
        <w:rPr>
          <w:sz w:val="24"/>
        </w:rPr>
        <w:t>2.</w:t>
      </w:r>
      <w:r>
        <w:rPr>
          <w:sz w:val="24"/>
          <w:u w:val="single"/>
        </w:rPr>
        <w:t>在履行期限届满前，一方明确表示或者以自己的行为表明不履行合同的</w:t>
      </w:r>
      <w:r>
        <w:rPr>
          <w:sz w:val="24"/>
        </w:rPr>
        <w:t>；</w:t>
      </w:r>
    </w:p>
    <w:p>
      <w:pPr>
        <w:pStyle w:val="null3"/>
        <w:ind w:firstLine="480"/>
        <w:jc w:val="both"/>
      </w:pPr>
      <w:r>
        <w:rPr>
          <w:sz w:val="24"/>
        </w:rPr>
        <w:t>3.</w:t>
      </w:r>
      <w:r>
        <w:rPr>
          <w:sz w:val="24"/>
          <w:u w:val="single"/>
        </w:rPr>
        <w:t>一方迟延履行合同，经催告后在合理期限内仍未履行合同的</w:t>
      </w:r>
      <w:r>
        <w:rPr>
          <w:sz w:val="24"/>
        </w:rPr>
        <w:t>；</w:t>
      </w:r>
    </w:p>
    <w:p>
      <w:pPr>
        <w:pStyle w:val="null3"/>
        <w:ind w:firstLine="480"/>
        <w:jc w:val="both"/>
      </w:pPr>
      <w:r>
        <w:rPr>
          <w:sz w:val="24"/>
        </w:rPr>
        <w:t>4.</w:t>
      </w:r>
      <w:r>
        <w:rPr>
          <w:sz w:val="24"/>
          <w:u w:val="single"/>
        </w:rPr>
        <w:t>一方迟延履行或者有其它违约行为致使不能实现合同目的的</w:t>
      </w:r>
      <w:r>
        <w:rPr>
          <w:sz w:val="24"/>
        </w:rPr>
        <w:t>。</w:t>
      </w:r>
    </w:p>
    <w:p>
      <w:pPr>
        <w:pStyle w:val="null3"/>
        <w:ind w:firstLine="482"/>
        <w:jc w:val="both"/>
      </w:pPr>
      <w:r>
        <w:rPr>
          <w:sz w:val="24"/>
          <w:b/>
        </w:rPr>
        <w:t>第十二条 双方因履行本合同而发生的争议，应协商、调解解决。协商、调解不成的，依法向甲方所在地人民法院起诉。</w:t>
      </w:r>
    </w:p>
    <w:p>
      <w:pPr>
        <w:pStyle w:val="null3"/>
        <w:ind w:firstLine="482"/>
        <w:jc w:val="both"/>
      </w:pPr>
      <w:r>
        <w:rPr>
          <w:sz w:val="24"/>
          <w:b/>
        </w:rPr>
        <w:t>第十三条 双方确定：本合同及相关附件中所涉及的有关名词和技术术语，其定义和解释如下：</w:t>
      </w:r>
    </w:p>
    <w:p>
      <w:pPr>
        <w:pStyle w:val="null3"/>
        <w:ind w:firstLine="480"/>
        <w:jc w:val="both"/>
      </w:pPr>
      <w:r>
        <w:rPr>
          <w:sz w:val="24"/>
        </w:rPr>
        <w:t>1.本合同的附件是合同的重要组成部分，与合同有同等法律效力；</w:t>
      </w:r>
    </w:p>
    <w:p>
      <w:pPr>
        <w:pStyle w:val="null3"/>
        <w:ind w:firstLine="480"/>
        <w:jc w:val="both"/>
      </w:pPr>
      <w:r>
        <w:rPr>
          <w:sz w:val="24"/>
        </w:rPr>
        <w:t>2.对本合同的理解与解释应依据合同目的和文本原义及业界通行的理解和惯例进行，本合同内的标题不应影响本合同的解释。</w:t>
      </w:r>
    </w:p>
    <w:p>
      <w:pPr>
        <w:pStyle w:val="null3"/>
        <w:ind w:firstLine="482"/>
        <w:jc w:val="both"/>
      </w:pPr>
      <w:r>
        <w:rPr>
          <w:sz w:val="24"/>
          <w:b/>
        </w:rPr>
        <w:t>第十四条 本合同一式份，甲乙各方各执份，采购代理执</w:t>
      </w:r>
      <w:r>
        <w:rPr>
          <w:sz w:val="24"/>
          <w:b/>
          <w:u w:val="single"/>
        </w:rPr>
        <w:t xml:space="preserve"> 壹 </w:t>
      </w:r>
      <w:r>
        <w:rPr>
          <w:sz w:val="24"/>
          <w:b/>
        </w:rPr>
        <w:t>份，具有同等法律效力。</w:t>
      </w:r>
    </w:p>
    <w:p>
      <w:pPr>
        <w:pStyle w:val="null3"/>
        <w:ind w:firstLine="482"/>
        <w:jc w:val="both"/>
      </w:pPr>
      <w:r>
        <w:rPr>
          <w:sz w:val="24"/>
          <w:b/>
        </w:rPr>
        <w:t>第十五条 本合同经双方签字盖章后生效。</w:t>
      </w:r>
    </w:p>
    <w:p>
      <w:pPr>
        <w:pStyle w:val="null3"/>
        <w:ind w:firstLine="480"/>
        <w:jc w:val="both"/>
      </w:pPr>
      <w:r>
        <w:rPr>
          <w:sz w:val="24"/>
        </w:rPr>
        <w:t>附件1：保密协议书</w:t>
      </w:r>
    </w:p>
    <w:p>
      <w:pPr>
        <w:pStyle w:val="null3"/>
        <w:ind w:firstLine="480"/>
        <w:jc w:val="both"/>
      </w:pPr>
      <w:r>
        <w:rPr>
          <w:sz w:val="24"/>
        </w:rPr>
        <w:t>附件2：黄埔区“百千万工程”土地整治政策机制研究及全区永久基本农田布局优化工作任务书</w:t>
      </w:r>
    </w:p>
    <w:p>
      <w:pPr>
        <w:pStyle w:val="null3"/>
        <w:ind w:firstLine="480"/>
        <w:jc w:val="both"/>
      </w:pPr>
      <w:r>
        <w:rPr/>
        <w:t xml:space="preserve"> </w:t>
      </w:r>
    </w:p>
    <w:p>
      <w:pPr>
        <w:pStyle w:val="null3"/>
        <w:ind w:firstLine="480"/>
        <w:jc w:val="both"/>
      </w:pPr>
      <w:r>
        <w:rPr>
          <w:sz w:val="24"/>
        </w:rPr>
        <w:t>甲方（盖章）：                                         乙方（盖章）：</w:t>
      </w:r>
    </w:p>
    <w:p>
      <w:pPr>
        <w:pStyle w:val="null3"/>
        <w:ind w:firstLine="480"/>
        <w:jc w:val="both"/>
      </w:pPr>
      <w:r>
        <w:rPr>
          <w:sz w:val="24"/>
        </w:rPr>
        <w:t>法定/授权代表人（签字）：                        法定/授权代表人（签字）：</w:t>
      </w:r>
    </w:p>
    <w:p>
      <w:pPr>
        <w:pStyle w:val="null3"/>
        <w:ind w:firstLine="480"/>
        <w:jc w:val="both"/>
      </w:pPr>
      <w:r>
        <w:rPr>
          <w:sz w:val="24"/>
        </w:rPr>
        <w:t>签订时间： 年 月 日                                   签订时间： 年 月 日</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jc w:val="both"/>
      </w:pPr>
      <w:r>
        <w:rPr>
          <w:sz w:val="24"/>
          <w:b/>
        </w:rPr>
        <w:t>附件1</w:t>
      </w:r>
    </w:p>
    <w:p>
      <w:pPr>
        <w:pStyle w:val="null3"/>
        <w:ind w:firstLine="883"/>
        <w:jc w:val="center"/>
      </w:pPr>
      <w:r>
        <w:rPr>
          <w:sz w:val="27"/>
          <w:b/>
        </w:rPr>
        <w:t>保 密 协 议 书</w:t>
      </w:r>
    </w:p>
    <w:p>
      <w:pPr>
        <w:pStyle w:val="null3"/>
        <w:jc w:val="both"/>
      </w:pPr>
      <w:r>
        <w:rPr>
          <w:sz w:val="24"/>
        </w:rPr>
        <w:t>合同签订地：广州市黄埔区</w:t>
      </w:r>
    </w:p>
    <w:p>
      <w:pPr>
        <w:pStyle w:val="null3"/>
        <w:ind w:firstLine="420"/>
        <w:jc w:val="both"/>
      </w:pPr>
      <w:r>
        <w:rPr>
          <w:sz w:val="24"/>
        </w:rPr>
        <w:t>甲方：</w:t>
      </w:r>
      <w:r>
        <w:rPr>
          <w:sz w:val="24"/>
          <w:u w:val="single"/>
        </w:rPr>
        <w:t xml:space="preserve">  广州开发区城市规划信息编研中心  </w:t>
      </w:r>
    </w:p>
    <w:p>
      <w:pPr>
        <w:pStyle w:val="null3"/>
        <w:ind w:firstLine="420"/>
        <w:jc w:val="both"/>
      </w:pPr>
      <w:r>
        <w:rPr>
          <w:sz w:val="24"/>
        </w:rPr>
        <w:t>乙方：</w:t>
      </w:r>
    </w:p>
    <w:p>
      <w:pPr>
        <w:pStyle w:val="null3"/>
        <w:ind w:firstLine="420"/>
        <w:jc w:val="both"/>
      </w:pPr>
      <w:r>
        <w:rPr/>
        <w:t xml:space="preserve"> </w:t>
      </w:r>
    </w:p>
    <w:p>
      <w:pPr>
        <w:pStyle w:val="null3"/>
        <w:jc w:val="both"/>
      </w:pPr>
      <w:r>
        <w:rPr>
          <w:sz w:val="24"/>
        </w:rPr>
        <w:t>鉴于：</w:t>
      </w:r>
    </w:p>
    <w:p>
      <w:pPr>
        <w:pStyle w:val="null3"/>
        <w:ind w:firstLine="480"/>
        <w:jc w:val="both"/>
      </w:pPr>
      <w:r>
        <w:rPr>
          <w:sz w:val="24"/>
        </w:rPr>
        <w:t>为充分保护甲方的保密资料和商业秘密；双方在平等、自愿、协商一致的基础上，达成如下一致意见：</w:t>
      </w:r>
    </w:p>
    <w:p>
      <w:pPr>
        <w:pStyle w:val="null3"/>
        <w:ind w:firstLine="480"/>
        <w:jc w:val="both"/>
      </w:pPr>
      <w:r>
        <w:rPr>
          <w:sz w:val="24"/>
        </w:rPr>
        <w:t>一、乙方对保密资料的保密义务</w:t>
      </w:r>
    </w:p>
    <w:p>
      <w:pPr>
        <w:pStyle w:val="null3"/>
        <w:ind w:firstLine="480"/>
        <w:jc w:val="both"/>
      </w:pPr>
      <w:r>
        <w:rPr>
          <w:sz w:val="24"/>
        </w:rPr>
        <w:t>1.未经甲方书面同意，乙方不得利用甲方提供的保密资料进行与项目以外的行为；未经甲方书面同意，乙方不得利用甲方提供的保密资料与任何第三方进行商业行为；</w:t>
      </w:r>
    </w:p>
    <w:p>
      <w:pPr>
        <w:pStyle w:val="null3"/>
        <w:ind w:firstLine="480"/>
        <w:jc w:val="both"/>
      </w:pPr>
      <w:r>
        <w:rPr>
          <w:sz w:val="24"/>
        </w:rPr>
        <w:t>2.乙方应配合甲方的合理要求，严格按本协议和甲方指示依法履行本协议；</w:t>
      </w:r>
    </w:p>
    <w:p>
      <w:pPr>
        <w:pStyle w:val="null3"/>
        <w:ind w:firstLine="480"/>
        <w:jc w:val="both"/>
      </w:pPr>
      <w:r>
        <w:rPr>
          <w:sz w:val="24"/>
        </w:rPr>
        <w:t>3.乙方未经甲方书面同意，不得擅自转让本协议的任何责任及其任何义务于任何第三方；</w:t>
      </w:r>
    </w:p>
    <w:p>
      <w:pPr>
        <w:pStyle w:val="null3"/>
        <w:ind w:firstLine="480"/>
        <w:jc w:val="both"/>
      </w:pPr>
      <w:r>
        <w:rPr>
          <w:sz w:val="24"/>
        </w:rPr>
        <w:t>4.甲方为乙方提供的技术资料仅供乙方人员内部工作使用，乙方不得转让第三方；</w:t>
      </w:r>
    </w:p>
    <w:p>
      <w:pPr>
        <w:pStyle w:val="null3"/>
        <w:ind w:firstLine="480"/>
        <w:jc w:val="both"/>
      </w:pPr>
      <w:r>
        <w:rPr>
          <w:sz w:val="24"/>
        </w:rPr>
        <w:t>5.乙方应保证防止甲方保密资料的泄露；若乙方人员出现泄密行为，乙方应承担全部法律责任。</w:t>
      </w:r>
    </w:p>
    <w:p>
      <w:pPr>
        <w:pStyle w:val="null3"/>
        <w:ind w:firstLine="480"/>
        <w:jc w:val="both"/>
      </w:pPr>
      <w:r>
        <w:rPr>
          <w:sz w:val="24"/>
        </w:rPr>
        <w:t>二、乙方对保密资料的合理使用</w:t>
      </w:r>
    </w:p>
    <w:p>
      <w:pPr>
        <w:pStyle w:val="null3"/>
        <w:ind w:firstLine="480"/>
        <w:jc w:val="both"/>
      </w:pPr>
      <w:r>
        <w:rPr>
          <w:sz w:val="24"/>
        </w:rPr>
        <w:t>甲方提供的资料仅限于乙方单位内部直接参与本项目的员工工作使用，绝不对其他单位及个人泄漏资料的相关内容。</w:t>
      </w:r>
    </w:p>
    <w:p>
      <w:pPr>
        <w:pStyle w:val="null3"/>
        <w:ind w:firstLine="480"/>
        <w:jc w:val="both"/>
      </w:pPr>
      <w:r>
        <w:rPr>
          <w:sz w:val="24"/>
        </w:rPr>
        <w:t>三、泄密界定</w:t>
      </w:r>
    </w:p>
    <w:p>
      <w:pPr>
        <w:pStyle w:val="null3"/>
        <w:ind w:firstLine="480"/>
        <w:jc w:val="both"/>
      </w:pPr>
      <w:r>
        <w:rPr>
          <w:sz w:val="24"/>
        </w:rPr>
        <w:t>乙方的（包括但不限于）以下行为不论是否造成甲方的损失，均应视为泄密行为：</w:t>
      </w:r>
    </w:p>
    <w:p>
      <w:pPr>
        <w:pStyle w:val="null3"/>
        <w:ind w:firstLine="480"/>
        <w:jc w:val="both"/>
      </w:pPr>
      <w:r>
        <w:rPr>
          <w:sz w:val="24"/>
        </w:rPr>
        <w:t>1.泄露甲方保密资料；</w:t>
      </w:r>
    </w:p>
    <w:p>
      <w:pPr>
        <w:pStyle w:val="null3"/>
        <w:ind w:firstLine="480"/>
        <w:jc w:val="both"/>
      </w:pPr>
      <w:r>
        <w:rPr>
          <w:sz w:val="24"/>
        </w:rPr>
        <w:t>2.帮助或辅导他人使用甲方的技术资料。</w:t>
      </w:r>
    </w:p>
    <w:p>
      <w:pPr>
        <w:pStyle w:val="null3"/>
        <w:ind w:firstLine="480"/>
        <w:jc w:val="both"/>
      </w:pPr>
      <w:r>
        <w:rPr>
          <w:sz w:val="24"/>
        </w:rPr>
        <w:t>四、定义及其他</w:t>
      </w:r>
    </w:p>
    <w:p>
      <w:pPr>
        <w:pStyle w:val="null3"/>
        <w:ind w:firstLine="480"/>
        <w:jc w:val="both"/>
      </w:pPr>
      <w:r>
        <w:rPr>
          <w:sz w:val="24"/>
        </w:rPr>
        <w:t>1.此协议只为甲方资料保密取得认可，甲方未把相关的权利和许可出让给乙方；</w:t>
      </w:r>
    </w:p>
    <w:p>
      <w:pPr>
        <w:pStyle w:val="null3"/>
        <w:ind w:firstLine="480"/>
        <w:jc w:val="both"/>
      </w:pPr>
      <w:r>
        <w:rPr>
          <w:sz w:val="24"/>
        </w:rPr>
        <w:t>2.本协议中“保密资料”是指任何由甲方提供（无论在本协议签订日期之前或之后，无论是通过书面纸质文件及电子版本文件、电子邮件、计算机盘片）给乙方与委托事项有关系或关联的各种数据和文档，包括地形图、航拍图、基础资料、规划成果等；</w:t>
      </w:r>
    </w:p>
    <w:p>
      <w:pPr>
        <w:pStyle w:val="null3"/>
        <w:ind w:firstLine="480"/>
        <w:jc w:val="both"/>
      </w:pPr>
      <w:r>
        <w:rPr>
          <w:sz w:val="24"/>
        </w:rPr>
        <w:t>3.本协议所称“商业秘密”是指不为公众所知悉、能为权利人带来竞争优势和经济利益、具有实用性并经权利人采取保密措施的技术信息和商业信息。</w:t>
      </w:r>
    </w:p>
    <w:p>
      <w:pPr>
        <w:pStyle w:val="null3"/>
        <w:ind w:firstLine="480"/>
        <w:jc w:val="both"/>
      </w:pPr>
      <w:r>
        <w:rPr>
          <w:sz w:val="24"/>
        </w:rPr>
        <w:t>五、违约责任</w:t>
      </w:r>
    </w:p>
    <w:p>
      <w:pPr>
        <w:pStyle w:val="null3"/>
        <w:ind w:firstLine="480"/>
        <w:jc w:val="both"/>
      </w:pPr>
      <w:r>
        <w:rPr>
          <w:sz w:val="24"/>
        </w:rPr>
        <w:t>1.本协议壹式</w:t>
      </w:r>
      <w:r>
        <w:rPr>
          <w:sz w:val="24"/>
          <w:u w:val="single"/>
        </w:rPr>
        <w:t>陆</w:t>
      </w:r>
      <w:r>
        <w:rPr>
          <w:sz w:val="24"/>
        </w:rPr>
        <w:t>份，甲方执</w:t>
      </w:r>
      <w:r>
        <w:rPr>
          <w:sz w:val="24"/>
          <w:u w:val="single"/>
        </w:rPr>
        <w:t>叁</w:t>
      </w:r>
      <w:r>
        <w:rPr>
          <w:sz w:val="24"/>
        </w:rPr>
        <w:t>份、乙方执</w:t>
      </w:r>
      <w:r>
        <w:rPr>
          <w:sz w:val="24"/>
          <w:u w:val="single"/>
        </w:rPr>
        <w:t>叁</w:t>
      </w:r>
      <w:r>
        <w:rPr>
          <w:sz w:val="24"/>
        </w:rPr>
        <w:t>份。本协议于双方签署之日起生效，并且所有条款对双方均有效；除非双方签订书面协议终止本合同，否则该协议永久有效；</w:t>
      </w:r>
    </w:p>
    <w:p>
      <w:pPr>
        <w:pStyle w:val="null3"/>
        <w:ind w:firstLine="480"/>
        <w:jc w:val="both"/>
      </w:pPr>
      <w:r>
        <w:rPr>
          <w:sz w:val="24"/>
        </w:rPr>
        <w:t>2.在本协议有效期内，若乙方违反本协议的保密约定，应承担由此造成的相应法律责任，且甲方有权单独或同时采取以下一项或多项措施维护甲方合法权益：</w:t>
      </w:r>
    </w:p>
    <w:p>
      <w:pPr>
        <w:pStyle w:val="null3"/>
        <w:ind w:firstLine="480"/>
        <w:jc w:val="both"/>
      </w:pPr>
      <w:r>
        <w:rPr>
          <w:sz w:val="24"/>
        </w:rPr>
        <w:t>（1）解除双方签订的《政府采购合同》；</w:t>
      </w:r>
    </w:p>
    <w:p>
      <w:pPr>
        <w:pStyle w:val="null3"/>
        <w:ind w:firstLine="480"/>
        <w:jc w:val="both"/>
      </w:pPr>
      <w:r>
        <w:rPr>
          <w:sz w:val="24"/>
        </w:rPr>
        <w:t>（2）要求乙方终止使用全部“保密信息”，退还所有甲方已交付的资料；</w:t>
      </w:r>
    </w:p>
    <w:p>
      <w:pPr>
        <w:pStyle w:val="null3"/>
        <w:ind w:firstLine="480"/>
        <w:jc w:val="both"/>
      </w:pPr>
      <w:r>
        <w:rPr>
          <w:sz w:val="24"/>
        </w:rPr>
        <w:t>（3）要求乙方退还所有甲方已支付费用；</w:t>
      </w:r>
    </w:p>
    <w:p>
      <w:pPr>
        <w:pStyle w:val="null3"/>
        <w:ind w:firstLine="480"/>
        <w:jc w:val="both"/>
      </w:pPr>
      <w:r>
        <w:rPr>
          <w:sz w:val="24"/>
        </w:rPr>
        <w:t>（4）要求乙方按《政府采购合同》支付合同总额20%的违约金，如违约金不足以弥补甲方的损失，乙方还必须承担因此给甲方造成的损失。</w:t>
      </w:r>
    </w:p>
    <w:p>
      <w:pPr>
        <w:pStyle w:val="null3"/>
        <w:ind w:firstLine="480"/>
        <w:jc w:val="both"/>
      </w:pPr>
      <w:r>
        <w:rPr>
          <w:sz w:val="24"/>
        </w:rPr>
        <w:t>六、法律适用与争议解决</w:t>
      </w:r>
    </w:p>
    <w:p>
      <w:pPr>
        <w:pStyle w:val="null3"/>
        <w:ind w:firstLine="480"/>
        <w:jc w:val="both"/>
      </w:pPr>
      <w:r>
        <w:rPr>
          <w:sz w:val="24"/>
        </w:rPr>
        <w:t>本协议应与中国的法律相一致并受中国法律解释的约束。双方同意，如发生争议，应友好协商；协商不成，可向广州市黄埔区人民法院提起诉讼，因诉讼所产生的合理费用，包括但不限于律师费、诉讼费、差旅费、公告费、公证费、鉴定费等由败诉一方承担。</w:t>
      </w:r>
    </w:p>
    <w:p>
      <w:pPr>
        <w:pStyle w:val="null3"/>
        <w:ind w:firstLine="480"/>
        <w:jc w:val="both"/>
      </w:pPr>
      <w:r>
        <w:rPr>
          <w:sz w:val="24"/>
        </w:rPr>
        <w:t>七、其他</w:t>
      </w:r>
    </w:p>
    <w:p>
      <w:pPr>
        <w:pStyle w:val="null3"/>
        <w:ind w:firstLine="480"/>
        <w:jc w:val="both"/>
      </w:pPr>
      <w:r>
        <w:rPr>
          <w:sz w:val="24"/>
        </w:rPr>
        <w:t>未尽事宜双方另行协商，签署补充协议作为本协议附件，具有同等法律效力。</w:t>
      </w:r>
    </w:p>
    <w:p>
      <w:pPr>
        <w:pStyle w:val="null3"/>
        <w:ind w:firstLine="480"/>
        <w:jc w:val="both"/>
      </w:pPr>
      <w:r>
        <w:rPr>
          <w:sz w:val="24"/>
        </w:rPr>
        <w:t>八、协议签署</w:t>
      </w:r>
    </w:p>
    <w:p>
      <w:pPr>
        <w:pStyle w:val="null3"/>
        <w:ind w:firstLine="480"/>
        <w:jc w:val="both"/>
      </w:pPr>
      <w:r>
        <w:rPr>
          <w:sz w:val="24"/>
        </w:rPr>
        <w:t>（以下无正文）</w:t>
      </w:r>
    </w:p>
    <w:p>
      <w:pPr>
        <w:pStyle w:val="null3"/>
        <w:ind w:firstLine="480"/>
        <w:jc w:val="both"/>
      </w:pPr>
      <w:r>
        <w:rPr/>
        <w:t xml:space="preserve"> </w:t>
      </w:r>
    </w:p>
    <w:p>
      <w:pPr>
        <w:pStyle w:val="null3"/>
        <w:jc w:val="both"/>
      </w:pPr>
      <w:r>
        <w:rPr>
          <w:sz w:val="24"/>
          <w:b/>
        </w:rPr>
        <w:t>甲方：</w:t>
      </w:r>
      <w:r>
        <w:rPr>
          <w:sz w:val="24"/>
          <w:b/>
          <w:u w:val="single"/>
        </w:rPr>
        <w:t>广州开发区城市规划信息编研中心</w:t>
      </w:r>
      <w:r>
        <w:rPr>
          <w:sz w:val="24"/>
          <w:b/>
        </w:rPr>
        <w:t>（盖章）</w:t>
      </w:r>
    </w:p>
    <w:p>
      <w:pPr>
        <w:pStyle w:val="null3"/>
        <w:jc w:val="both"/>
      </w:pPr>
      <w:r>
        <w:rPr>
          <w:sz w:val="24"/>
        </w:rPr>
        <w:t xml:space="preserve">                                     年    月    日</w:t>
      </w:r>
    </w:p>
    <w:p>
      <w:pPr>
        <w:pStyle w:val="null3"/>
        <w:jc w:val="both"/>
      </w:pPr>
      <w:r>
        <w:rPr>
          <w:sz w:val="24"/>
          <w:b/>
        </w:rPr>
        <w:t>乙方：</w:t>
      </w:r>
      <w:r>
        <w:rPr>
          <w:sz w:val="24"/>
          <w:b/>
          <w:u w:val="single"/>
        </w:rPr>
        <w:t>（</w:t>
      </w:r>
      <w:r>
        <w:rPr>
          <w:sz w:val="24"/>
          <w:b/>
        </w:rPr>
        <w:t>盖章）</w:t>
      </w:r>
    </w:p>
    <w:p>
      <w:pPr>
        <w:pStyle w:val="null3"/>
        <w:jc w:val="both"/>
      </w:pPr>
      <w:r>
        <w:rPr>
          <w:sz w:val="24"/>
        </w:rPr>
        <w:t xml:space="preserve">                                     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440112-2024-03719</w:t>
      </w:r>
    </w:p>
    <w:p>
      <w:pPr>
        <w:pStyle w:val="null3"/>
        <w:jc w:val="center"/>
        <w:outlineLvl w:val="3"/>
      </w:pPr>
      <w:r>
        <w:rPr>
          <w:sz w:val="24"/>
          <w:b/>
        </w:rPr>
        <w:t>采购项目编号：</w:t>
      </w:r>
      <w:r>
        <w:rPr>
          <w:sz w:val="24"/>
          <w:b/>
        </w:rPr>
        <w:t>GZCQC2400FG07020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黄埔区“百千万工程”土地整治政策机制研究及全区永久基本农田布局优化工作</w:t>
      </w:r>
      <w:r>
        <w:rPr>
          <w:u w:val="single"/>
        </w:rPr>
        <w:t>”</w:t>
      </w:r>
      <w:r>
        <w:rPr/>
        <w:t>项目的招标[采购项目编号为：</w:t>
      </w:r>
      <w:r>
        <w:rPr>
          <w:u w:val="single"/>
        </w:rPr>
        <w:t>GZCQC2400FG07020</w:t>
      </w:r>
      <w:r>
        <w:rPr/>
        <w:t>]，我方愿参与投标。</w:t>
      </w:r>
    </w:p>
    <w:p>
      <w:pPr>
        <w:pStyle w:val="null3"/>
        <w:ind w:firstLine="480"/>
      </w:pPr>
      <w:r>
        <w:rPr/>
        <w:t>我方确认收到贵方提供的</w:t>
      </w:r>
      <w:r>
        <w:rPr>
          <w:u w:val="single"/>
        </w:rPr>
        <w:t>“</w:t>
      </w:r>
      <w:r>
        <w:rPr>
          <w:u w:val="single"/>
        </w:rPr>
        <w:t>黄埔区“百千万工程”土地整治政策机制研究及全区永久基本农田布局优化工作</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黄埔区“百千万工程”土地整治政策机制研究及全区永久基本农田布局优化工作</w:t>
      </w:r>
      <w:r>
        <w:rPr/>
        <w:t>”项目采购[采购项目编号为</w:t>
      </w:r>
      <w:r>
        <w:rPr/>
        <w:t>GZCQC2400FG07020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广州开发区城市规划信息编研中心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黄埔区“百千万工程”土地整治政策机制研究及全区永久基本农田布局优化工作</w:t>
      </w:r>
      <w:r>
        <w:rPr/>
        <w:t>招标中获中标（采购项目编号：</w:t>
      </w:r>
      <w:r>
        <w:rPr/>
        <w:t>GZCQC2400FG07020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