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440101-2024-16290</w:t>
      </w:r>
    </w:p>
    <w:p>
      <w:pPr>
        <w:pStyle w:val="null3"/>
        <w:jc w:val="center"/>
        <w:outlineLvl w:val="3"/>
      </w:pPr>
      <w:r>
        <w:rPr>
          <w:sz w:val="24"/>
          <w:b/>
        </w:rPr>
        <w:t>采购项目编号：</w:t>
      </w:r>
      <w:r>
        <w:rPr>
          <w:sz w:val="24"/>
          <w:b/>
        </w:rPr>
        <w:t>GZCQC2400FG07013</w:t>
      </w:r>
    </w:p>
    <w:p>
      <w:pPr>
        <w:pStyle w:val="null3"/>
        <w:jc w:val="center"/>
        <w:outlineLvl w:val="3"/>
      </w:pPr>
      <w:r>
        <w:rPr>
          <w:sz w:val="24"/>
          <w:b/>
        </w:rPr>
        <w:t>项目名称：</w:t>
      </w:r>
      <w:r>
        <w:rPr>
          <w:sz w:val="24"/>
          <w:b/>
        </w:rPr>
        <w:t>城维计划-综合交通规划编制经费（子项14：广州乡村风景道专项总体规划和建设技术指引）</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城维计划-综合交通规划编制经费（子项14：广州乡村风景道专项总体规划和建设技术指引）</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城维计划-综合交通规划编制经费（子项14：广州乡村风景道专项总体规划和建设技术指引）</w:t>
      </w:r>
    </w:p>
    <w:p>
      <w:pPr>
        <w:pStyle w:val="null3"/>
        <w:ind w:firstLine="480"/>
      </w:pPr>
      <w:r>
        <w:rPr/>
        <w:t>采购计划编号：</w:t>
      </w:r>
      <w:r>
        <w:rPr/>
        <w:t>440101-2024-16290</w:t>
      </w:r>
    </w:p>
    <w:p>
      <w:pPr>
        <w:pStyle w:val="null3"/>
        <w:ind w:firstLine="480"/>
      </w:pPr>
      <w:r>
        <w:rPr/>
        <w:t>采购项目编号：</w:t>
      </w:r>
      <w:r>
        <w:rPr/>
        <w:t>GZCQC2400FG07013</w:t>
      </w:r>
    </w:p>
    <w:p>
      <w:pPr>
        <w:pStyle w:val="null3"/>
        <w:ind w:firstLine="480"/>
      </w:pPr>
      <w:r>
        <w:rPr/>
        <w:t>采购方式：</w:t>
      </w:r>
      <w:r>
        <w:rPr/>
        <w:t>公开招标</w:t>
      </w:r>
    </w:p>
    <w:p>
      <w:pPr>
        <w:pStyle w:val="null3"/>
        <w:ind w:firstLine="480"/>
      </w:pPr>
      <w:r>
        <w:rPr/>
        <w:t>预算金额：</w:t>
      </w:r>
      <w:r>
        <w:rPr/>
        <w:t>3,058,000.00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采购包1(城维计划-综合交通规划编制经费（子项14：广州乡村风景道专项总体规划和建设技术指引）):</w:t>
      </w:r>
    </w:p>
    <w:p>
      <w:pPr>
        <w:pStyle w:val="null3"/>
      </w:pPr>
      <w:r>
        <w:rPr/>
        <w:t>采购包预算金额：3,058,000.00元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城维计划-综合交通规划编制经费（子项14：广州乡村风景道专项总体规划和建设技术指引）</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合同履行期限：自合同签订之日起至2024年12月31日。中标人需在合同到期之前按照工作任务要求完成并提交规划研究成果。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采购包1（城维计划-综合交通规划编制经费（子项14：广州乡村风景道专项总体规划和建设技术指引））：</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采购包1（城维计划-综合交通规划编制经费（子项14：广州乡村风景道专项总体规划和建设技术指引））：</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有城乡规划编制甲级资质。（提供证书复印件，根据自然资办函〔2023〕2717号文的规定，有效期至2023年12月31日的城乡规划编制单位甲级资质证书，有效期延长至2025年12月31日。如相关主管部门有最新政策，按最新政策执行）</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020-83332599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814"/>
        <w:gridCol w:w="1146"/>
        <w:gridCol w:w="2346"/>
      </w:tblGrid>
      <w:tr>
        <w:tc>
          <w:tcPr>
            <w:tcW w:type="dxa" w:w="48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3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  元）</w:t>
            </w:r>
          </w:p>
        </w:tc>
      </w:tr>
      <w:tr>
        <w:tc>
          <w:tcPr>
            <w:tcW w:type="dxa" w:w="48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城维计划-综合交通规划编制经费（子项14：广州乡村风景道专项总体规划和建设技术指引）</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23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3,058,000.00</w:t>
            </w:r>
          </w:p>
        </w:tc>
      </w:tr>
    </w:tbl>
    <w:p>
      <w:pPr>
        <w:pStyle w:val="null3"/>
        <w:ind w:firstLine="482"/>
        <w:jc w:val="both"/>
      </w:pPr>
      <w:r>
        <w:rPr>
          <w:sz w:val="24"/>
          <w:b/>
        </w:rPr>
        <w:t>（三）服务范围：</w:t>
      </w:r>
      <w:r>
        <w:rPr>
          <w:sz w:val="24"/>
        </w:rPr>
        <w:t>广州市全域，总面积约7434.40平方公里。</w:t>
      </w:r>
    </w:p>
    <w:p>
      <w:pPr>
        <w:pStyle w:val="null3"/>
        <w:ind w:firstLine="482"/>
        <w:jc w:val="both"/>
      </w:pPr>
      <w:r>
        <w:rPr>
          <w:sz w:val="24"/>
          <w:b/>
        </w:rPr>
        <w:t>（四）服务要求：</w:t>
      </w:r>
      <w:r>
        <w:rPr>
          <w:sz w:val="24"/>
        </w:rPr>
        <w:t>针对谋划打造广州市千里乡村风景道，编制乡村风景道建设指引，推动乡村振兴重大战略和百县千镇万村高质量发展工程落地实施，促进城乡协调发展。</w:t>
      </w:r>
    </w:p>
    <w:p>
      <w:pPr>
        <w:pStyle w:val="null3"/>
        <w:ind w:firstLine="482"/>
        <w:jc w:val="both"/>
      </w:pPr>
      <w:r>
        <w:rPr>
          <w:sz w:val="24"/>
          <w:b/>
        </w:rPr>
        <w:t>（五）服务时间（履行期限）：</w:t>
      </w:r>
      <w:r>
        <w:rPr>
          <w:sz w:val="24"/>
        </w:rPr>
        <w:t>自合同签订之日起至2024年12月31日。中标人需在合同到期之前按照工作任务要求完成并提交规划研究成果。</w:t>
      </w:r>
    </w:p>
    <w:p>
      <w:pPr>
        <w:pStyle w:val="null3"/>
        <w:ind w:firstLine="482"/>
        <w:jc w:val="both"/>
      </w:pPr>
      <w:r>
        <w:rPr>
          <w:sz w:val="24"/>
          <w:b/>
        </w:rPr>
        <w:t>（六）服务标准：</w:t>
      </w:r>
      <w:r>
        <w:rPr>
          <w:sz w:val="24"/>
        </w:rPr>
        <w:t>提供的服务须满足采购需求的要求、投标文件中的相关承诺及合同约定要求。</w:t>
      </w:r>
    </w:p>
    <w:p>
      <w:pPr>
        <w:pStyle w:val="null3"/>
      </w:pPr>
      <w:r>
        <w:rPr/>
        <w:t>采购包1（城维计划-综合交通规划编制经费（子项14：广州乡村风景道专项总体规划和建设技术指引））</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自合同签订之日起至2024年12月31日。中标人需在合同到期之前按照工作任务要求完成并提交规划研究成果。</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1期：支付比例50%,签订合同后，采购人自收到发票后5个工作日内向中标人支付本项目合同总金额的50%。预计在2024年9月30日前支付第一期费用。</w:t>
            </w:r>
          </w:p>
          <w:p>
            <w:pPr>
              <w:pStyle w:val="null3"/>
            </w:pPr>
            <w:r>
              <w:rPr/>
              <w:t>2期：支付比例30%,中标人完成中期成果并通过审查后，采购人自收到发票后5个工作日向中标人支付本项目合同总金额的30%。预计在2024年10月30日前支付第二期费用。</w:t>
            </w:r>
          </w:p>
          <w:p>
            <w:pPr>
              <w:pStyle w:val="null3"/>
            </w:pPr>
            <w:r>
              <w:rPr/>
              <w:t>3期：支付比例20%,中标人完成终期成果并通过审查后，采购人自收到发票后5个工作日向中标人支付本项目合同总金额的20%。预计在2024年11月30日前支付第三期费用。 （1）每次按合同支付款项前，中标人应向采购人提供与支付金额相符的有效发票，且收款方、出具发票方、合同乙方均必须与中标人名称一致。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1期：1、中标人完成技术服务工作形式：各阶段方案的上报成果、正式成果（纸质成果和电子成果）等（详见本项目《附表一：广州乡村风景道专项总体规划和建设技术指引》）。 2、技术服务工作成果的验收标准：符合本项目《附表一：广州乡村风景道专项总体规划和建设技术指引》要求。 3、技术服务工作成果的验收方法：成果以采购人审查通过为验收依据。 4、验收的时间和地点：根据采购人要求。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城维计划-综合交通规划编制经费（子项14：广州乡村风景道专项总体规划和建设技术指引）</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3,058,000.00</w:t>
            </w:r>
          </w:p>
        </w:tc>
        <w:tc>
          <w:tcPr>
            <w:tcW w:type="dxa" w:w="933"/>
          </w:tcPr>
          <w:p>
            <w:pPr>
              <w:pStyle w:val="null3"/>
              <w:jc w:val="right"/>
            </w:pPr>
            <w:r>
              <w:rPr/>
              <w:t>3,058,000.00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城维计划-综合交通规划编制经费（子项14：广州乡村风景道专项总体规划和建设技术指引）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一、工作原则</w:t>
            </w:r>
          </w:p>
          <w:p>
            <w:pPr>
              <w:pStyle w:val="null3"/>
              <w:ind w:firstLine="424"/>
              <w:jc w:val="both"/>
            </w:pPr>
            <w:r>
              <w:rPr>
                <w:sz w:val="24"/>
                <w:b/>
                <w:color w:val="000000"/>
              </w:rPr>
              <w:t xml:space="preserve">1. </w:t>
            </w:r>
            <w:r>
              <w:rPr>
                <w:sz w:val="24"/>
                <w:b/>
                <w:color w:val="000000"/>
              </w:rPr>
              <w:t>坚持顺瓜结藤，深度融入乡村振兴战略。</w:t>
            </w:r>
          </w:p>
          <w:p>
            <w:pPr>
              <w:pStyle w:val="null3"/>
              <w:ind w:firstLine="422"/>
              <w:jc w:val="both"/>
            </w:pPr>
            <w:r>
              <w:rPr>
                <w:sz w:val="24"/>
                <w:color w:val="000000"/>
              </w:rPr>
              <w:t>贯彻习</w:t>
            </w:r>
            <w:r>
              <w:rPr>
                <w:sz w:val="24"/>
                <w:color w:val="FFFFFF"/>
              </w:rPr>
              <w:t>..</w:t>
            </w:r>
            <w:r>
              <w:rPr>
                <w:sz w:val="24"/>
                <w:color w:val="000000"/>
              </w:rPr>
              <w:t>近平生态文</w:t>
            </w:r>
            <w:r>
              <w:rPr>
                <w:sz w:val="24"/>
                <w:color w:val="FFFFFF"/>
              </w:rPr>
              <w:t>..</w:t>
            </w:r>
            <w:r>
              <w:rPr>
                <w:sz w:val="24"/>
                <w:color w:val="000000"/>
              </w:rPr>
              <w:t>明思想，围绕“服务产业、快乐游客、幸福市民、致富农民”的目标，按照“顺瓜结藤”的理念，把农村居民点、风景旅游资源、历史文化资源、红色革命教育基地和农业产业园等重要节点有效串联起来，形成服务美丽乡村建设、农产品运输、乡村旅游和乡村振兴的“绿色经济路网”，促进农村发展、农民增收。</w:t>
            </w:r>
          </w:p>
          <w:p>
            <w:pPr>
              <w:pStyle w:val="null3"/>
              <w:ind w:firstLine="424"/>
              <w:jc w:val="both"/>
            </w:pPr>
            <w:r>
              <w:rPr>
                <w:sz w:val="24"/>
                <w:b/>
                <w:color w:val="000000"/>
              </w:rPr>
              <w:t>2.</w:t>
            </w:r>
            <w:r>
              <w:rPr>
                <w:sz w:val="24"/>
                <w:b/>
                <w:color w:val="000000"/>
              </w:rPr>
              <w:t>强调贯通成网，多道融合。</w:t>
            </w:r>
          </w:p>
          <w:p>
            <w:pPr>
              <w:pStyle w:val="null3"/>
              <w:ind w:firstLine="422"/>
              <w:jc w:val="both"/>
            </w:pPr>
            <w:r>
              <w:rPr>
                <w:sz w:val="24"/>
                <w:color w:val="000000"/>
              </w:rPr>
              <w:t>农村公路应充分利用广州的蓝绿生态系统、自然山水格局、碧道绿道等慢行系统，多道融合谋划打造环绕都市区周边的风景道系统，彰显广州山水林田海城市格局，打造广州一张新名片，增添广州城市魅力。</w:t>
            </w:r>
          </w:p>
          <w:p>
            <w:pPr>
              <w:pStyle w:val="null3"/>
              <w:ind w:firstLine="424"/>
              <w:jc w:val="both"/>
            </w:pPr>
            <w:r>
              <w:rPr>
                <w:sz w:val="24"/>
                <w:b/>
                <w:color w:val="000000"/>
              </w:rPr>
              <w:t>3.</w:t>
            </w:r>
            <w:r>
              <w:rPr>
                <w:sz w:val="24"/>
                <w:b/>
                <w:color w:val="000000"/>
              </w:rPr>
              <w:t>坚持因地制宜，展示特色。</w:t>
            </w:r>
          </w:p>
          <w:p>
            <w:pPr>
              <w:pStyle w:val="null3"/>
              <w:ind w:firstLine="422"/>
              <w:jc w:val="both"/>
            </w:pPr>
            <w:r>
              <w:rPr>
                <w:sz w:val="24"/>
                <w:color w:val="000000"/>
              </w:rPr>
              <w:t>要坚持尊重自然以及空间格局特色，立足不同区域村庄的景观风貌、经济基础、地理条件等有差异的实际情况，挖掘最具代表性的资源条件，开展最具特色的旅游活动，打造不同类型、不同主题的风景道，丰富广州风景道旅游活动的内容和形式，高标准建设，提升风景道出行品质。</w:t>
            </w:r>
          </w:p>
          <w:p>
            <w:pPr>
              <w:pStyle w:val="null3"/>
              <w:ind w:firstLine="424"/>
              <w:jc w:val="both"/>
            </w:pPr>
            <w:r>
              <w:rPr>
                <w:sz w:val="24"/>
                <w:b/>
                <w:color w:val="000000"/>
              </w:rPr>
              <w:t>4.</w:t>
            </w:r>
            <w:r>
              <w:rPr>
                <w:sz w:val="24"/>
                <w:b/>
                <w:color w:val="000000"/>
              </w:rPr>
              <w:t>坚持组织统筹，突出系统协同。</w:t>
            </w:r>
          </w:p>
          <w:p>
            <w:pPr>
              <w:pStyle w:val="null3"/>
              <w:ind w:firstLine="422"/>
              <w:jc w:val="left"/>
            </w:pPr>
            <w:r>
              <w:rPr>
                <w:sz w:val="24"/>
                <w:color w:val="000000"/>
              </w:rPr>
              <w:t>风景道的规划建设要注重统筹好市、区相关职能部门的力量和资源，建立风景道规划实施的协同机制，分类建设，近远结合、有序推进，多系统形成合力，打通壁垒，实现风景道的共建、共治、共享。</w:t>
            </w:r>
          </w:p>
        </w:tc>
      </w:tr>
      <w:tr>
        <w:tc>
          <w:tcPr>
            <w:tcW w:type="dxa" w:w="2076"/>
          </w:tcPr>
          <w:p/>
        </w:tc>
        <w:tc>
          <w:tcPr>
            <w:tcW w:type="dxa" w:w="415"/>
          </w:tcPr>
          <w:p>
            <w:pPr>
              <w:pStyle w:val="null3"/>
            </w:pPr>
            <w:r>
              <w:rPr/>
              <w:t>2</w:t>
            </w:r>
          </w:p>
        </w:tc>
        <w:tc>
          <w:tcPr>
            <w:tcW w:type="dxa" w:w="5814"/>
          </w:tcPr>
          <w:p>
            <w:pPr>
              <w:pStyle w:val="null3"/>
              <w:jc w:val="both"/>
            </w:pPr>
            <w:r>
              <w:rPr>
                <w:sz w:val="24"/>
                <w:b/>
                <w:color w:val="000000"/>
              </w:rPr>
              <w:t>二、工作内容</w:t>
            </w:r>
          </w:p>
          <w:p>
            <w:pPr>
              <w:pStyle w:val="null3"/>
              <w:ind w:firstLine="425"/>
              <w:jc w:val="both"/>
            </w:pPr>
            <w:r>
              <w:rPr>
                <w:sz w:val="24"/>
                <w:color w:val="000000"/>
              </w:rPr>
              <w:t>广州乡村风景道以现状农村公路网为基础，通过路面改造、整治次差路和危破桥、绿化景观提升、打通村与村之间断头路等升级改造举措，形成串联全市众多美丽乡村、农业产业园、文化遗址及生态景观的最美乡村风景道网络。为打造广州乡村风景道，拟编制广州乡村风景道专项总体规划和广州乡村风景道建设技术指引。</w:t>
            </w:r>
          </w:p>
          <w:p>
            <w:pPr>
              <w:pStyle w:val="null3"/>
              <w:ind w:firstLine="426"/>
              <w:jc w:val="both"/>
            </w:pPr>
            <w:r>
              <w:rPr>
                <w:sz w:val="24"/>
                <w:b/>
                <w:color w:val="000000"/>
              </w:rPr>
              <w:t>（一）广州市千里乡村风景道专项总体规划</w:t>
            </w:r>
          </w:p>
          <w:p>
            <w:pPr>
              <w:pStyle w:val="null3"/>
              <w:ind w:firstLine="425"/>
              <w:jc w:val="both"/>
            </w:pPr>
            <w:r>
              <w:rPr>
                <w:sz w:val="24"/>
                <w:color w:val="000000"/>
              </w:rPr>
              <w:t>摸查广州市农村公路建设现状，整合分类广州市各类资源点，借鉴国内外主题风景道规划建设成功经验，制定广州乡村风景道空间布局和选线方案、分区主题策划、建设实施计划等内容，作为乡村风景道和示范段建设实施的依据，指导各区开展工作。</w:t>
            </w:r>
          </w:p>
          <w:p>
            <w:pPr>
              <w:pStyle w:val="null3"/>
              <w:ind w:firstLine="426"/>
              <w:jc w:val="both"/>
            </w:pPr>
            <w:r>
              <w:rPr>
                <w:sz w:val="24"/>
                <w:b/>
                <w:color w:val="000000"/>
              </w:rPr>
              <w:t>（1）现状情况摸查及资源梳理</w:t>
            </w:r>
          </w:p>
          <w:p>
            <w:pPr>
              <w:pStyle w:val="null3"/>
              <w:ind w:firstLine="425"/>
              <w:jc w:val="both"/>
            </w:pPr>
            <w:r>
              <w:rPr>
                <w:sz w:val="24"/>
                <w:color w:val="000000"/>
              </w:rPr>
              <w:t>针对广州农村公路现状进行补充调研，结合大数据分析梳理沿线资源，从乡村资源点、农村公路等方面分析现状发展特征及存在问题。</w:t>
            </w:r>
          </w:p>
          <w:p>
            <w:pPr>
              <w:pStyle w:val="null3"/>
              <w:ind w:firstLine="426"/>
              <w:jc w:val="both"/>
            </w:pPr>
            <w:r>
              <w:rPr>
                <w:sz w:val="24"/>
                <w:b/>
                <w:color w:val="000000"/>
              </w:rPr>
              <w:t>（2）先进案例对标及经验启示</w:t>
            </w:r>
          </w:p>
          <w:p>
            <w:pPr>
              <w:pStyle w:val="null3"/>
              <w:ind w:firstLine="425"/>
              <w:jc w:val="both"/>
            </w:pPr>
            <w:r>
              <w:rPr>
                <w:sz w:val="24"/>
                <w:color w:val="000000"/>
              </w:rPr>
              <w:t>选取国内外先进城市的主题型风景道案例进行分析，研究风景道建设成效、空间布局、资源串联等方面的优秀经验，提炼对广州乡村风景道的建设启示。</w:t>
            </w:r>
          </w:p>
          <w:p>
            <w:pPr>
              <w:pStyle w:val="null3"/>
              <w:ind w:firstLine="426"/>
              <w:jc w:val="both"/>
            </w:pPr>
            <w:r>
              <w:rPr>
                <w:sz w:val="24"/>
                <w:b/>
                <w:color w:val="000000"/>
              </w:rPr>
              <w:t>（3）总体要求与空间布局方案</w:t>
            </w:r>
          </w:p>
          <w:p>
            <w:pPr>
              <w:pStyle w:val="null3"/>
              <w:ind w:firstLine="424"/>
              <w:jc w:val="both"/>
            </w:pPr>
            <w:r>
              <w:rPr>
                <w:sz w:val="24"/>
                <w:b/>
                <w:color w:val="000000"/>
              </w:rPr>
              <w:t>■总体要求。</w:t>
            </w:r>
            <w:r>
              <w:rPr>
                <w:sz w:val="24"/>
                <w:color w:val="000000"/>
              </w:rPr>
              <w:t>着眼于构建全市完善乡村风景道网络体系，提升乡村地区的道路通达性和文旅吸引力，制定广州千里乡村风景道建设的目标及策略。</w:t>
            </w:r>
          </w:p>
          <w:p>
            <w:pPr>
              <w:pStyle w:val="null3"/>
              <w:ind w:firstLine="424"/>
              <w:jc w:val="both"/>
            </w:pPr>
            <w:r>
              <w:rPr>
                <w:sz w:val="24"/>
                <w:b/>
                <w:color w:val="000000"/>
              </w:rPr>
              <w:t>■功能定位。</w:t>
            </w:r>
            <w:r>
              <w:rPr>
                <w:sz w:val="24"/>
                <w:color w:val="000000"/>
              </w:rPr>
              <w:t>从彰显岭南乡村风貌、产业发展、人文生态体验、健身康养等方面提出千里乡村风景道的功能定位，多维度综合展现广州乡村价值。</w:t>
            </w:r>
          </w:p>
          <w:p>
            <w:pPr>
              <w:pStyle w:val="null3"/>
              <w:ind w:firstLine="424"/>
              <w:jc w:val="both"/>
            </w:pPr>
            <w:r>
              <w:rPr>
                <w:sz w:val="24"/>
                <w:b/>
                <w:color w:val="000000"/>
              </w:rPr>
              <w:t>■空间布局方案。</w:t>
            </w:r>
            <w:r>
              <w:rPr>
                <w:sz w:val="24"/>
                <w:color w:val="000000"/>
              </w:rPr>
              <w:t>综合考虑沿线乡村分布、资源集聚度以及农村公路等情况进行选线，分级分类，形成全市乡村风景道总体空间布局方案。</w:t>
            </w:r>
          </w:p>
          <w:p>
            <w:pPr>
              <w:pStyle w:val="null3"/>
              <w:ind w:firstLine="426"/>
              <w:jc w:val="both"/>
            </w:pPr>
            <w:r>
              <w:rPr>
                <w:sz w:val="24"/>
                <w:b/>
                <w:color w:val="000000"/>
              </w:rPr>
              <w:t>（4）分区主题策划及发展指引</w:t>
            </w:r>
          </w:p>
          <w:p>
            <w:pPr>
              <w:pStyle w:val="null3"/>
              <w:ind w:firstLine="425"/>
              <w:jc w:val="both"/>
            </w:pPr>
            <w:r>
              <w:rPr>
                <w:sz w:val="24"/>
                <w:color w:val="000000"/>
              </w:rPr>
              <w:t>根据不同涉农区的自然禀赋和历史文化特色，提出相应分段的主题定位、发展方向、关键策略等，打造各区各具特色的乡村风景道。</w:t>
            </w:r>
          </w:p>
          <w:p>
            <w:pPr>
              <w:pStyle w:val="null3"/>
              <w:ind w:firstLine="426"/>
              <w:jc w:val="both"/>
            </w:pPr>
            <w:r>
              <w:rPr>
                <w:sz w:val="24"/>
                <w:b/>
                <w:color w:val="000000"/>
              </w:rPr>
              <w:t>（5）建设实施计划</w:t>
            </w:r>
          </w:p>
          <w:p>
            <w:pPr>
              <w:pStyle w:val="null3"/>
              <w:ind w:firstLine="425"/>
              <w:jc w:val="both"/>
            </w:pPr>
            <w:r>
              <w:rPr>
                <w:sz w:val="24"/>
                <w:color w:val="000000"/>
              </w:rPr>
              <w:t>结合各区上报的建设实施计划，结合全市的总体布局和分区主题，提出建设实施项目库，指导各区建设任务按计划推进。</w:t>
            </w:r>
          </w:p>
          <w:p>
            <w:pPr>
              <w:pStyle w:val="null3"/>
              <w:ind w:firstLine="426"/>
              <w:jc w:val="both"/>
            </w:pPr>
            <w:r>
              <w:rPr>
                <w:sz w:val="24"/>
                <w:b/>
                <w:color w:val="000000"/>
              </w:rPr>
              <w:t>（二） 广州市千里乡村风景道建设技术指引</w:t>
            </w:r>
          </w:p>
          <w:p>
            <w:pPr>
              <w:pStyle w:val="null3"/>
              <w:ind w:firstLine="425"/>
              <w:jc w:val="both"/>
            </w:pPr>
            <w:r>
              <w:rPr>
                <w:sz w:val="24"/>
                <w:color w:val="000000"/>
              </w:rPr>
              <w:t>规范和指导广州乡村风景道建设，支撑引领农村文旅体系和生态宜居美丽乡村建设，在总结国内外乡村风景道建设成果和经验的基础上，制定不同风貌下的道路详细断面指导广州市风景道的建设。</w:t>
            </w:r>
          </w:p>
          <w:p>
            <w:pPr>
              <w:pStyle w:val="null3"/>
              <w:ind w:firstLine="426"/>
              <w:jc w:val="both"/>
            </w:pPr>
            <w:r>
              <w:rPr>
                <w:sz w:val="24"/>
                <w:b/>
                <w:color w:val="000000"/>
              </w:rPr>
              <w:t>（1）现状建设条件摸查</w:t>
            </w:r>
          </w:p>
          <w:p>
            <w:pPr>
              <w:pStyle w:val="null3"/>
              <w:ind w:firstLine="425"/>
              <w:jc w:val="both"/>
            </w:pPr>
            <w:r>
              <w:rPr>
                <w:sz w:val="24"/>
                <w:color w:val="000000"/>
              </w:rPr>
              <w:t>重点从乡村公路连通性、机动车道和慢行道宽度设置、道路铺装、沿线服务设施、交通安全设施、风貌品质等方面，分析现状农村公路在打造乡村风景道方面存在的不足。</w:t>
            </w:r>
          </w:p>
          <w:p>
            <w:pPr>
              <w:pStyle w:val="null3"/>
              <w:ind w:firstLine="426"/>
              <w:jc w:val="both"/>
            </w:pPr>
            <w:r>
              <w:rPr>
                <w:sz w:val="24"/>
                <w:b/>
                <w:color w:val="000000"/>
              </w:rPr>
              <w:t>（2）相关标准及建设指引研究</w:t>
            </w:r>
          </w:p>
          <w:p>
            <w:pPr>
              <w:pStyle w:val="null3"/>
              <w:ind w:firstLine="425"/>
              <w:jc w:val="both"/>
            </w:pPr>
            <w:r>
              <w:rPr>
                <w:sz w:val="24"/>
                <w:color w:val="000000"/>
              </w:rPr>
              <w:t>全面梳理分析国家、省、市等印发实施的与乡村风景道相关的规划设计标准和建设技术指引，以高质量发展为原则，分类归纳、系统分析并整理形成本次建设技术指引的基础。</w:t>
            </w:r>
          </w:p>
          <w:p>
            <w:pPr>
              <w:pStyle w:val="null3"/>
              <w:ind w:firstLine="426"/>
              <w:jc w:val="both"/>
            </w:pPr>
            <w:r>
              <w:rPr>
                <w:sz w:val="24"/>
                <w:b/>
                <w:color w:val="000000"/>
              </w:rPr>
              <w:t>（3）国内外风景经验借鉴</w:t>
            </w:r>
          </w:p>
          <w:p>
            <w:pPr>
              <w:pStyle w:val="null3"/>
              <w:ind w:firstLine="425"/>
              <w:jc w:val="both"/>
            </w:pPr>
            <w:r>
              <w:rPr>
                <w:sz w:val="24"/>
                <w:color w:val="000000"/>
              </w:rPr>
              <w:t>选取国内外先进城市的主题型风景道案例，针对主题性风景道的建设技术标准，重点从车行系统、慢行系统、配套设施、标识系统、景观环境等5个方面总结国内外乡村风景道的建设先进经验。</w:t>
            </w:r>
          </w:p>
          <w:p>
            <w:pPr>
              <w:pStyle w:val="null3"/>
              <w:ind w:firstLine="424"/>
              <w:jc w:val="both"/>
            </w:pPr>
            <w:r>
              <w:rPr>
                <w:sz w:val="24"/>
                <w:b/>
                <w:color w:val="000000"/>
              </w:rPr>
              <w:t>（4）建设技术指引内容</w:t>
            </w:r>
          </w:p>
          <w:p>
            <w:pPr>
              <w:pStyle w:val="null3"/>
              <w:ind w:firstLine="422"/>
              <w:jc w:val="both"/>
            </w:pPr>
            <w:r>
              <w:rPr>
                <w:sz w:val="24"/>
                <w:color w:val="000000"/>
              </w:rPr>
              <w:t>结合广州农村工作规划建设的工作实际，研究乡村风景道的建设技术标准，明确设计控制要素与内容。</w:t>
            </w:r>
          </w:p>
          <w:p>
            <w:pPr>
              <w:pStyle w:val="null3"/>
              <w:ind w:firstLine="424"/>
              <w:jc w:val="both"/>
            </w:pPr>
            <w:r>
              <w:rPr>
                <w:sz w:val="24"/>
                <w:b/>
                <w:color w:val="000000"/>
              </w:rPr>
              <w:t>■</w:t>
            </w:r>
            <w:r>
              <w:rPr>
                <w:sz w:val="24"/>
                <w:color w:val="000000"/>
              </w:rPr>
              <w:t>车行系统。从乡村风景道的建设标准、与交通接驳设施、旅游资源点的互联互通水平等方面提出车行系统的建设要求。</w:t>
            </w:r>
          </w:p>
          <w:p>
            <w:pPr>
              <w:pStyle w:val="null3"/>
              <w:ind w:firstLine="424"/>
              <w:jc w:val="both"/>
            </w:pPr>
            <w:r>
              <w:rPr>
                <w:sz w:val="24"/>
                <w:b/>
                <w:color w:val="000000"/>
              </w:rPr>
              <w:t>■</w:t>
            </w:r>
            <w:r>
              <w:rPr>
                <w:sz w:val="24"/>
                <w:color w:val="000000"/>
              </w:rPr>
              <w:t>慢行系统。对乡村风景道的慢行空间以及与周边绿道、碧道等慢行系统的衔接方面提要求。</w:t>
            </w:r>
          </w:p>
          <w:p>
            <w:pPr>
              <w:pStyle w:val="null3"/>
              <w:ind w:firstLine="424"/>
              <w:jc w:val="both"/>
            </w:pPr>
            <w:r>
              <w:rPr>
                <w:sz w:val="24"/>
                <w:b/>
                <w:color w:val="000000"/>
              </w:rPr>
              <w:t>■</w:t>
            </w:r>
            <w:r>
              <w:rPr>
                <w:sz w:val="24"/>
                <w:color w:val="000000"/>
              </w:rPr>
              <w:t>配套设施。从沿线服务驿站、服务区、停车场、观景路系统等方面提出配套设施的要求。</w:t>
            </w:r>
          </w:p>
          <w:p>
            <w:pPr>
              <w:pStyle w:val="null3"/>
              <w:ind w:firstLine="424"/>
              <w:jc w:val="both"/>
            </w:pPr>
            <w:r>
              <w:rPr>
                <w:sz w:val="24"/>
                <w:b/>
                <w:color w:val="000000"/>
              </w:rPr>
              <w:t>■</w:t>
            </w:r>
            <w:r>
              <w:rPr>
                <w:sz w:val="24"/>
                <w:color w:val="000000"/>
              </w:rPr>
              <w:t>标识系统。从道路标识、导向标识、安全标识等提出建设要求。</w:t>
            </w:r>
          </w:p>
          <w:p>
            <w:pPr>
              <w:pStyle w:val="null3"/>
              <w:ind w:firstLine="422"/>
              <w:jc w:val="left"/>
            </w:pPr>
            <w:r>
              <w:rPr>
                <w:sz w:val="24"/>
                <w:b/>
                <w:color w:val="000000"/>
              </w:rPr>
              <w:t>■</w:t>
            </w:r>
            <w:r>
              <w:rPr>
                <w:sz w:val="24"/>
                <w:color w:val="000000"/>
              </w:rPr>
              <w:t>景观环境。从山、水、林、田、居、路等方面对乡村风景道沿线视域范围的景观环境设施提建设要求。</w:t>
            </w:r>
          </w:p>
          <w:p>
            <w:pPr>
              <w:pStyle w:val="null3"/>
              <w:ind w:firstLine="422"/>
              <w:jc w:val="left"/>
            </w:pPr>
            <w:r>
              <w:rPr/>
              <w:t xml:space="preserve"> </w:t>
            </w:r>
          </w:p>
          <w:p>
            <w:pPr>
              <w:pStyle w:val="null3"/>
              <w:ind w:firstLine="422"/>
              <w:jc w:val="left"/>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4"/>
                <w:b/>
                <w:color w:val="000000"/>
              </w:rPr>
              <w:t>三、成果要求</w:t>
            </w:r>
          </w:p>
          <w:p>
            <w:pPr>
              <w:pStyle w:val="null3"/>
              <w:ind w:firstLine="424"/>
              <w:jc w:val="both"/>
            </w:pPr>
            <w:r>
              <w:rPr>
                <w:sz w:val="24"/>
                <w:b/>
                <w:color w:val="000000"/>
              </w:rPr>
              <w:t>规划成果的内容必须符合本采购需求各条款的规定和要求。由纸质成果和电子成果组成。</w:t>
            </w:r>
          </w:p>
          <w:p>
            <w:pPr>
              <w:pStyle w:val="null3"/>
              <w:ind w:firstLine="424"/>
              <w:jc w:val="both"/>
            </w:pPr>
            <w:r>
              <w:rPr>
                <w:sz w:val="24"/>
                <w:b/>
                <w:color w:val="000000"/>
              </w:rPr>
              <w:t>1.</w:t>
            </w:r>
            <w:r>
              <w:rPr>
                <w:sz w:val="24"/>
                <w:b/>
                <w:color w:val="000000"/>
              </w:rPr>
              <w:t>纸质成果：</w:t>
            </w:r>
          </w:p>
          <w:p>
            <w:pPr>
              <w:pStyle w:val="null3"/>
              <w:ind w:firstLine="424"/>
              <w:jc w:val="both"/>
            </w:pPr>
            <w:r>
              <w:rPr>
                <w:sz w:val="24"/>
                <w:b/>
              </w:rPr>
              <w:t>1.1阶段性成果要求</w:t>
            </w:r>
            <w:r>
              <w:rPr>
                <w:sz w:val="24"/>
              </w:rPr>
              <w:t>：①研究成果必须做到清晰、完整、表达准确，符合各阶段成果要求；②打印装订规格为A4（展板除外）；③每次提交的阶段性成果请打印规格统一，便于归档保存；同类图纸规格应尽量统一；④出于环保考虑，文字部分请双面打印（图纸除外）；⑤打印数量以满足审查要求为准。</w:t>
            </w:r>
          </w:p>
          <w:p>
            <w:pPr>
              <w:pStyle w:val="null3"/>
              <w:ind w:firstLine="424"/>
              <w:jc w:val="both"/>
            </w:pPr>
            <w:r>
              <w:rPr>
                <w:sz w:val="24"/>
                <w:b/>
              </w:rPr>
              <w:t>1.2最终成果要求：</w:t>
            </w:r>
            <w:r>
              <w:rPr>
                <w:sz w:val="24"/>
              </w:rPr>
              <w:t>必须满足上述阶段性成果要求，另外最终成果需在文本文件上标注组织单位名称和主要协调人员名称，中标人名称及法人代表、项目负责人和设计人员名单，并加盖中标人成果专用章。最终成果至少3套。</w:t>
            </w:r>
          </w:p>
          <w:p>
            <w:pPr>
              <w:pStyle w:val="null3"/>
              <w:ind w:firstLine="424"/>
              <w:jc w:val="both"/>
            </w:pPr>
            <w:r>
              <w:rPr>
                <w:sz w:val="24"/>
                <w:b/>
                <w:color w:val="000000"/>
              </w:rPr>
              <w:t>2.</w:t>
            </w:r>
            <w:r>
              <w:rPr>
                <w:sz w:val="24"/>
                <w:b/>
                <w:color w:val="000000"/>
              </w:rPr>
              <w:t>电子成果</w:t>
            </w:r>
          </w:p>
          <w:p>
            <w:pPr>
              <w:pStyle w:val="null3"/>
              <w:ind w:firstLine="422"/>
              <w:jc w:val="left"/>
            </w:pPr>
            <w:r>
              <w:rPr>
                <w:sz w:val="24"/>
                <w:color w:val="000000"/>
              </w:rPr>
              <w:t>最终成果必须刻录光盘形式提交，3套。电子成果包括：与上述纸质成果对应的历次阶段性成果和最终成果，报告采用word或PPT格式，图形文件采用dwg、jpg、gis格式。</w:t>
            </w:r>
          </w:p>
        </w:tc>
      </w:tr>
      <w:tr>
        <w:tc>
          <w:tcPr>
            <w:tcW w:type="dxa" w:w="2076"/>
          </w:tcPr>
          <w:p/>
        </w:tc>
        <w:tc>
          <w:tcPr>
            <w:tcW w:type="dxa" w:w="415"/>
          </w:tcPr>
          <w:p>
            <w:pPr>
              <w:pStyle w:val="null3"/>
            </w:pPr>
            <w:r>
              <w:rPr/>
              <w:t>4</w:t>
            </w:r>
          </w:p>
        </w:tc>
        <w:tc>
          <w:tcPr>
            <w:tcW w:type="dxa" w:w="5814"/>
          </w:tcPr>
          <w:p>
            <w:pPr>
              <w:pStyle w:val="null3"/>
              <w:jc w:val="both"/>
            </w:pPr>
            <w:r>
              <w:rPr>
                <w:sz w:val="24"/>
                <w:b/>
                <w:color w:val="000000"/>
              </w:rPr>
              <w:t>四、成果报送和审查要求</w:t>
            </w:r>
          </w:p>
          <w:p>
            <w:pPr>
              <w:pStyle w:val="null3"/>
              <w:ind w:firstLine="425"/>
              <w:jc w:val="both"/>
            </w:pPr>
            <w:r>
              <w:rPr>
                <w:sz w:val="24"/>
                <w:color w:val="000000"/>
              </w:rPr>
              <w:t>中标人需负责提供各审查阶段所必需的成果、方案介绍等汇报资料，并协助采购人开展其他必要工作。</w:t>
            </w:r>
          </w:p>
          <w:p>
            <w:pPr>
              <w:pStyle w:val="null3"/>
              <w:ind w:firstLine="425"/>
              <w:jc w:val="left"/>
            </w:pPr>
            <w:r>
              <w:rPr>
                <w:sz w:val="24"/>
                <w:color w:val="000000"/>
              </w:rPr>
              <w:t>中标人在规划编制各阶段均应加强成果的自查自审，做好自查自审记录，并建立技术质量管理制度，明确项目负责人及各技术人员的职责，遵守法律法规，维护规划体系，确保研究成果满足要求。</w:t>
            </w:r>
          </w:p>
        </w:tc>
      </w:tr>
      <w:tr>
        <w:tc>
          <w:tcPr>
            <w:tcW w:type="dxa" w:w="2076"/>
          </w:tcPr>
          <w:p/>
        </w:tc>
        <w:tc>
          <w:tcPr>
            <w:tcW w:type="dxa" w:w="415"/>
          </w:tcPr>
          <w:p>
            <w:pPr>
              <w:pStyle w:val="null3"/>
            </w:pPr>
            <w:r>
              <w:rPr/>
              <w:t>5</w:t>
            </w:r>
          </w:p>
        </w:tc>
        <w:tc>
          <w:tcPr>
            <w:tcW w:type="dxa" w:w="5814"/>
          </w:tcPr>
          <w:p>
            <w:pPr>
              <w:pStyle w:val="null3"/>
              <w:jc w:val="both"/>
            </w:pPr>
            <w:r>
              <w:rPr>
                <w:sz w:val="24"/>
                <w:b/>
                <w:color w:val="000000"/>
              </w:rPr>
              <w:t>五、附则</w:t>
            </w:r>
          </w:p>
          <w:p>
            <w:pPr>
              <w:pStyle w:val="null3"/>
              <w:ind w:firstLine="425"/>
              <w:jc w:val="both"/>
            </w:pPr>
            <w:r>
              <w:rPr>
                <w:sz w:val="24"/>
                <w:color w:val="000000"/>
              </w:rPr>
              <w:t>1.</w:t>
            </w:r>
            <w:r>
              <w:rPr>
                <w:sz w:val="24"/>
                <w:color w:val="000000"/>
              </w:rPr>
              <w:t>本次工作成果文件的署名权归中标人所有，版权归采购人所有。成果文件未经批准公布前，任何单位和个人都无权以任何形式向社会公开展示成果文件。</w:t>
            </w:r>
          </w:p>
          <w:p>
            <w:pPr>
              <w:pStyle w:val="null3"/>
              <w:ind w:firstLine="425"/>
              <w:jc w:val="both"/>
            </w:pPr>
            <w:r>
              <w:rPr>
                <w:sz w:val="24"/>
                <w:color w:val="000000"/>
              </w:rPr>
              <w:t>2.</w:t>
            </w:r>
            <w:r>
              <w:rPr>
                <w:sz w:val="24"/>
                <w:color w:val="000000"/>
              </w:rPr>
              <w:t>如对本采购需求有询问，可在接到本采购需求后致函采购人，采购人将作出口头或书面形式答复。</w:t>
            </w:r>
          </w:p>
          <w:p>
            <w:pPr>
              <w:pStyle w:val="null3"/>
              <w:ind w:firstLine="425"/>
              <w:jc w:val="left"/>
            </w:pPr>
            <w:r>
              <w:rPr>
                <w:sz w:val="24"/>
                <w:color w:val="000000"/>
              </w:rPr>
              <w:t>3.</w:t>
            </w:r>
            <w:r>
              <w:rPr>
                <w:sz w:val="24"/>
                <w:color w:val="000000"/>
              </w:rPr>
              <w:t>本采购需求解释权归采购人所有。</w:t>
            </w:r>
          </w:p>
        </w:tc>
      </w:tr>
      <w:tr>
        <w:tc>
          <w:tcPr>
            <w:tcW w:type="dxa" w:w="2076"/>
          </w:tcPr>
          <w:p/>
        </w:tc>
        <w:tc>
          <w:tcPr>
            <w:tcW w:type="dxa" w:w="415"/>
          </w:tcPr>
          <w:p>
            <w:pPr>
              <w:pStyle w:val="null3"/>
            </w:pPr>
            <w:r>
              <w:rPr/>
              <w:t>6</w:t>
            </w:r>
          </w:p>
        </w:tc>
        <w:tc>
          <w:tcPr>
            <w:tcW w:type="dxa" w:w="5814"/>
          </w:tcPr>
          <w:p>
            <w:pPr>
              <w:pStyle w:val="null3"/>
              <w:jc w:val="both"/>
            </w:pPr>
            <w:r>
              <w:rPr>
                <w:sz w:val="24"/>
                <w:b/>
              </w:rPr>
              <w:t>六、其他</w:t>
            </w:r>
          </w:p>
          <w:p>
            <w:pPr>
              <w:pStyle w:val="null3"/>
              <w:ind w:firstLine="424"/>
              <w:jc w:val="both"/>
            </w:pPr>
            <w:r>
              <w:rPr>
                <w:sz w:val="24"/>
                <w:b/>
              </w:rPr>
              <w:t>1.承接本项目的中标人被视为承认本项目所有条款，并按本项目规定条款完成规划研究工作。</w:t>
            </w:r>
          </w:p>
          <w:p>
            <w:pPr>
              <w:pStyle w:val="null3"/>
              <w:ind w:firstLine="422"/>
              <w:jc w:val="both"/>
            </w:pPr>
            <w:r>
              <w:rPr>
                <w:sz w:val="24"/>
              </w:rPr>
              <w:t>2.投标人须提供针对本项目的技术思路，包括但不限于技术路线、工作内容、研究方法、项目重难点分析等内容。</w:t>
            </w:r>
          </w:p>
          <w:p>
            <w:pPr>
              <w:pStyle w:val="null3"/>
              <w:ind w:firstLine="422"/>
              <w:jc w:val="both"/>
            </w:pPr>
            <w:r>
              <w:rPr>
                <w:sz w:val="24"/>
              </w:rPr>
              <w:t>3.投标人须提供针对本项目的项目进度计划及保证措施，内容包括但不限于技术支持、跟踪服务能力、优化任务方案、实施及后续服务保障措施、保密措施等。</w:t>
            </w:r>
          </w:p>
          <w:p>
            <w:pPr>
              <w:pStyle w:val="null3"/>
              <w:ind w:firstLine="422"/>
              <w:jc w:val="both"/>
            </w:pPr>
            <w:r>
              <w:rPr>
                <w:sz w:val="24"/>
              </w:rPr>
              <w:t>4.项目需拟派项目负责人（1人）参与整个项目服务过程，对接并协助采购人完成相关工作，严格把关成果。</w:t>
            </w:r>
          </w:p>
          <w:p>
            <w:pPr>
              <w:pStyle w:val="null3"/>
              <w:ind w:firstLine="422"/>
              <w:jc w:val="both"/>
            </w:pPr>
            <w:r>
              <w:rPr>
                <w:sz w:val="24"/>
              </w:rPr>
              <w:t>项目负责人需具有城市（乡）规划副高级（或以上）职称且属于交通运输规划与管理或交通工程专业，参与过交通规划类项目业绩。</w:t>
            </w:r>
          </w:p>
          <w:p>
            <w:pPr>
              <w:pStyle w:val="null3"/>
              <w:ind w:firstLine="422"/>
              <w:jc w:val="both"/>
            </w:pPr>
            <w:r>
              <w:rPr>
                <w:sz w:val="24"/>
              </w:rPr>
              <w:t>5.为使项目按质、按量、按时及有序实施，投标人配置不少于16人的专业技术人员（不含项目负责人）包含：</w:t>
            </w:r>
          </w:p>
          <w:p>
            <w:pPr>
              <w:pStyle w:val="null3"/>
              <w:ind w:firstLine="422"/>
              <w:jc w:val="both"/>
            </w:pPr>
            <w:r>
              <w:rPr>
                <w:sz w:val="24"/>
              </w:rPr>
              <w:t>（1）具有城市（乡）规划中级工程师（或以上）职称且属于交通运输规划与管理或交通工程专业的；</w:t>
            </w:r>
          </w:p>
          <w:p>
            <w:pPr>
              <w:pStyle w:val="null3"/>
              <w:ind w:firstLine="422"/>
              <w:jc w:val="both"/>
            </w:pPr>
            <w:r>
              <w:rPr>
                <w:sz w:val="24"/>
              </w:rPr>
              <w:t>（2）具有城市（乡）规划中级工程师（或以上）职称且属于城乡规划专业的。</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14：广州乡村风景道专项总体规划和建设技术指引）)：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采购包1（城维计划-综合交通规划编制经费（子项14：广州乡村风景道专项总体规划和建设技术指引））：</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采购包1（城维计划-综合交通规划编制经费（子项14：广州乡村风景道专项总体规划和建设技术指引））：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投标人必须具有城乡规划编制甲级资质。</w:t>
            </w:r>
          </w:p>
        </w:tc>
        <w:tc>
          <w:tcPr>
            <w:tcW w:type="dxa" w:w="4238"/>
          </w:tcPr>
          <w:p>
            <w:pPr>
              <w:pStyle w:val="null3"/>
            </w:pPr>
            <w:r>
              <w:rPr/>
              <w:t>投标人必须具有城乡规划编制甲级资质。（提供证书复印件，根据自然资办函〔2023〕2717号文的规定，有效期至2023年12月31日的城乡规划编制单位甲级资质证书，有效期延长至2025年12月31日。如相关主管部门有最新政策，按最新政策执行）</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采购包1（城维计划-综合交通规划编制经费（子项14：广州乡村风景道专项总体规划和建设技术指引））：</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采购包1(城维计划-综合交通规划编制经费（子项14：广州乡村风景道专项总体规划和建设技术指引）):</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对项目的理解和认知一 (1.5分)</w:t>
            </w:r>
          </w:p>
        </w:tc>
        <w:tc>
          <w:tcPr>
            <w:tcW w:type="dxa" w:w="5076"/>
          </w:tcPr>
          <w:p>
            <w:pPr>
              <w:pStyle w:val="null3"/>
              <w:jc w:val="left"/>
            </w:pPr>
            <w:r>
              <w:rPr/>
              <w:t>根据投标人提供的对项目的理解和认知进行评审：内容包括①项目背景；②项目内容；③项目目标3项内容，每包含1项得0.5分，最高得1.5分。</w:t>
            </w:r>
          </w:p>
        </w:tc>
      </w:tr>
      <w:tr>
        <w:tc>
          <w:tcPr>
            <w:tcW w:type="dxa" w:w="922"/>
            <w:gridSpan w:val="2"/>
            <w:vMerge/>
          </w:tcPr>
          <w:p/>
        </w:tc>
        <w:tc>
          <w:tcPr>
            <w:tcW w:type="dxa" w:w="2307"/>
          </w:tcPr>
          <w:p>
            <w:pPr>
              <w:pStyle w:val="null3"/>
              <w:jc w:val="left"/>
            </w:pPr>
            <w:r>
              <w:rPr/>
              <w:t>对项目的理解和认知二 (5.5分)</w:t>
            </w:r>
            <w:r>
              <w:rPr/>
              <w:t>，（等次分值选择：</w:t>
            </w:r>
            <w:r>
              <w:rPr/>
              <w:t>0.0;</w:t>
            </w:r>
            <w:r>
              <w:rPr/>
              <w:t>1.5;</w:t>
            </w:r>
            <w:r>
              <w:rPr/>
              <w:t>3.5;</w:t>
            </w:r>
            <w:r>
              <w:rPr/>
              <w:t>5.5;</w:t>
            </w:r>
            <w:r>
              <w:rPr/>
              <w:t>）</w:t>
            </w:r>
          </w:p>
        </w:tc>
        <w:tc>
          <w:tcPr>
            <w:tcW w:type="dxa" w:w="5076"/>
          </w:tcPr>
          <w:p>
            <w:pPr>
              <w:pStyle w:val="null3"/>
              <w:jc w:val="left"/>
            </w:pPr>
            <w:r>
              <w:rPr/>
              <w:t>根据投标人对本规划项目的背景、内容、目标的理解、分析进行评审： （1）投标人充分理解和掌握本项目背景、项目内容和目标；明确本项目的工作目标和工作内容；对本项目工作任务的分析准确，优于采购需求，得5.5分； （2）投标人能理解和掌握本项目背景、项目内容和目标；明确本项目的工作目标和工作内容；对本项目工作任务的分析较为准确，满足采购需求，得3.5分； （3）投标人部分理解和掌握本项目背景、项目内容和目标；本项目的目标和工作内容描述有缺失；对本项目工作任务的分析部分准确，部分满足采购需求，得1.5分； （4）其它或没有提供相关内容，得0分。</w:t>
            </w:r>
          </w:p>
        </w:tc>
      </w:tr>
      <w:tr>
        <w:tc>
          <w:tcPr>
            <w:tcW w:type="dxa" w:w="922"/>
            <w:gridSpan w:val="2"/>
            <w:vMerge/>
          </w:tcPr>
          <w:p/>
        </w:tc>
        <w:tc>
          <w:tcPr>
            <w:tcW w:type="dxa" w:w="2307"/>
          </w:tcPr>
          <w:p>
            <w:pPr>
              <w:pStyle w:val="null3"/>
              <w:jc w:val="left"/>
            </w:pPr>
            <w:r>
              <w:rPr/>
              <w:t>对项目服务范围内的现状及规划的认知一 (1.5分)</w:t>
            </w:r>
          </w:p>
        </w:tc>
        <w:tc>
          <w:tcPr>
            <w:tcW w:type="dxa" w:w="5076"/>
          </w:tcPr>
          <w:p>
            <w:pPr>
              <w:pStyle w:val="null3"/>
              <w:jc w:val="left"/>
            </w:pPr>
            <w:r>
              <w:rPr/>
              <w:t>根据投标人提供的对项目服务范围内的现状及规划的认知进行评审：内容包括①发展现状分析；②相关案例分析；③相关规划分析3项内容，每包含1项得0.5分，最高得1.5分。</w:t>
            </w:r>
          </w:p>
        </w:tc>
      </w:tr>
      <w:tr>
        <w:tc>
          <w:tcPr>
            <w:tcW w:type="dxa" w:w="922"/>
            <w:gridSpan w:val="2"/>
            <w:vMerge/>
          </w:tcPr>
          <w:p/>
        </w:tc>
        <w:tc>
          <w:tcPr>
            <w:tcW w:type="dxa" w:w="2307"/>
          </w:tcPr>
          <w:p>
            <w:pPr>
              <w:pStyle w:val="null3"/>
              <w:jc w:val="left"/>
            </w:pPr>
            <w:r>
              <w:rPr/>
              <w:t>对项目服务范围内的现状及规划的认知二 (8.5分)</w:t>
            </w:r>
            <w:r>
              <w:rPr/>
              <w:t>，（等次分值选择：</w:t>
            </w:r>
            <w:r>
              <w:rPr/>
              <w:t>0.0;</w:t>
            </w:r>
            <w:r>
              <w:rPr/>
              <w:t>2.5;</w:t>
            </w:r>
            <w:r>
              <w:rPr/>
              <w:t>4.5;</w:t>
            </w:r>
            <w:r>
              <w:rPr/>
              <w:t>8.5;</w:t>
            </w:r>
            <w:r>
              <w:rPr/>
              <w:t>）</w:t>
            </w:r>
          </w:p>
        </w:tc>
        <w:tc>
          <w:tcPr>
            <w:tcW w:type="dxa" w:w="5076"/>
          </w:tcPr>
          <w:p>
            <w:pPr>
              <w:pStyle w:val="null3"/>
              <w:jc w:val="left"/>
            </w:pPr>
            <w:r>
              <w:rPr/>
              <w:t>根据投标人对项目服务范围内的现状及规划的认知进行评审： （1）数据来源或证明材料完整、充分，对项目服务范围内的发展现状（包括但不限于广州市各类资源点、农村公路建设现状、相关案例分析等）分析透彻、详细，规划的认知清晰、明确，优于采购需求，得8.5分； （2）数据来源或证明材料完整，对项目服务范围内的发展现状（包括但不限于广州市各类资源点、农村公路建设现状、相关案例分析等）分析基本透彻，规划的认知清晰，满足采购需求，得4.5分； （3）数据来源或证明材料简单，对项目服务范围内的发展现状（包括但不限于广州市各类资源点、农村公路建设现状、相关案例分析等）及规划的分析简单、没有具体的认知，部分满足采购需求，得2.5分； （4）其它或没有提供相关内容，得0分。</w:t>
            </w:r>
          </w:p>
        </w:tc>
      </w:tr>
      <w:tr>
        <w:tc>
          <w:tcPr>
            <w:tcW w:type="dxa" w:w="922"/>
            <w:gridSpan w:val="2"/>
            <w:vMerge/>
          </w:tcPr>
          <w:p/>
        </w:tc>
        <w:tc>
          <w:tcPr>
            <w:tcW w:type="dxa" w:w="2307"/>
          </w:tcPr>
          <w:p>
            <w:pPr>
              <w:pStyle w:val="null3"/>
              <w:jc w:val="left"/>
            </w:pPr>
            <w:r>
              <w:rPr/>
              <w:t>工作思路、技术路线及初步技术方案一 (1.5分)</w:t>
            </w:r>
          </w:p>
        </w:tc>
        <w:tc>
          <w:tcPr>
            <w:tcW w:type="dxa" w:w="5076"/>
          </w:tcPr>
          <w:p>
            <w:pPr>
              <w:pStyle w:val="null3"/>
              <w:jc w:val="left"/>
            </w:pPr>
            <w:r>
              <w:rPr/>
              <w:t>根据投标人提供的工作思路、技术路线及初步技术方案进行评审：内容包括①工作思路；②技术路线；③初步技术方案；3项内容，每包含1项得0.5分，最高得1.5分。</w:t>
            </w:r>
          </w:p>
        </w:tc>
      </w:tr>
      <w:tr>
        <w:tc>
          <w:tcPr>
            <w:tcW w:type="dxa" w:w="922"/>
            <w:gridSpan w:val="2"/>
            <w:vMerge/>
          </w:tcPr>
          <w:p/>
        </w:tc>
        <w:tc>
          <w:tcPr>
            <w:tcW w:type="dxa" w:w="2307"/>
          </w:tcPr>
          <w:p>
            <w:pPr>
              <w:pStyle w:val="null3"/>
              <w:jc w:val="left"/>
            </w:pPr>
            <w:r>
              <w:rPr/>
              <w:t>工作思路、技术路线及初步技术方案二 (8.5分)</w:t>
            </w:r>
            <w:r>
              <w:rPr/>
              <w:t>，（等次分值选择：</w:t>
            </w:r>
            <w:r>
              <w:rPr/>
              <w:t>0.0;</w:t>
            </w:r>
            <w:r>
              <w:rPr/>
              <w:t>2.5;</w:t>
            </w:r>
            <w:r>
              <w:rPr/>
              <w:t>4.5;</w:t>
            </w:r>
            <w:r>
              <w:rPr/>
              <w:t>8.5;</w:t>
            </w:r>
            <w:r>
              <w:rPr/>
              <w:t>）</w:t>
            </w:r>
          </w:p>
        </w:tc>
        <w:tc>
          <w:tcPr>
            <w:tcW w:type="dxa" w:w="5076"/>
          </w:tcPr>
          <w:p>
            <w:pPr>
              <w:pStyle w:val="null3"/>
              <w:jc w:val="left"/>
            </w:pPr>
            <w:r>
              <w:rPr/>
              <w:t>根据投标人提供的工作思路、技术路线及初步技术方案进行评审： （1）项目工作思路、技术路线清晰合理、统筹性强，初步技术方案科学合理、具有较高可行性，优于采购需求，得8.5分； （2）项目工作思路、技术路线清晰，初步技术方案合理、具有一定的可行性，满足采购需求，得4.5分； （3）项目工作思路、技术路线不完整，初步技术方案内容简单，部分满足采购需求，得2.5分； （4）其它或没有提供相关内容，得0分。</w:t>
            </w:r>
          </w:p>
        </w:tc>
      </w:tr>
      <w:tr>
        <w:tc>
          <w:tcPr>
            <w:tcW w:type="dxa" w:w="922"/>
            <w:gridSpan w:val="2"/>
            <w:vMerge/>
          </w:tcPr>
          <w:p/>
        </w:tc>
        <w:tc>
          <w:tcPr>
            <w:tcW w:type="dxa" w:w="2307"/>
          </w:tcPr>
          <w:p>
            <w:pPr>
              <w:pStyle w:val="null3"/>
              <w:jc w:val="left"/>
            </w:pPr>
            <w:r>
              <w:rPr/>
              <w:t>项目重难点分析 (4.0分)</w:t>
            </w:r>
          </w:p>
        </w:tc>
        <w:tc>
          <w:tcPr>
            <w:tcW w:type="dxa" w:w="5076"/>
          </w:tcPr>
          <w:p>
            <w:pPr>
              <w:pStyle w:val="null3"/>
              <w:jc w:val="left"/>
            </w:pPr>
            <w:r>
              <w:rPr/>
              <w:t>（1）能根据采购需求列举本项目的重难点，每列举一项得0.5分，本小项最高得2.0分；（2）根据上述的重难点提出响应的措施建议，每提出一条有效解决措施得0.5分，本小项最高得2.0分。</w:t>
            </w:r>
          </w:p>
        </w:tc>
      </w:tr>
      <w:tr>
        <w:tc>
          <w:tcPr>
            <w:tcW w:type="dxa" w:w="922"/>
            <w:gridSpan w:val="2"/>
            <w:vMerge/>
          </w:tcPr>
          <w:p/>
        </w:tc>
        <w:tc>
          <w:tcPr>
            <w:tcW w:type="dxa" w:w="2307"/>
          </w:tcPr>
          <w:p>
            <w:pPr>
              <w:pStyle w:val="null3"/>
              <w:jc w:val="left"/>
            </w:pPr>
            <w:r>
              <w:rPr/>
              <w:t>计划安排合理性、质量保障措施和保密措施一 (3.0分)</w:t>
            </w:r>
          </w:p>
        </w:tc>
        <w:tc>
          <w:tcPr>
            <w:tcW w:type="dxa" w:w="5076"/>
          </w:tcPr>
          <w:p>
            <w:pPr>
              <w:pStyle w:val="null3"/>
              <w:jc w:val="left"/>
            </w:pPr>
            <w:r>
              <w:rPr/>
              <w:t>根据投标人提供的计划安排合理性、质量保障措施和保密措施进行评审：内容包括①项目进度计划；②质量保障措施；③保密措施3项内容，每包含1项得1分，最高得3分。</w:t>
            </w:r>
          </w:p>
        </w:tc>
      </w:tr>
      <w:tr>
        <w:tc>
          <w:tcPr>
            <w:tcW w:type="dxa" w:w="922"/>
            <w:gridSpan w:val="2"/>
            <w:vMerge/>
          </w:tcPr>
          <w:p/>
        </w:tc>
        <w:tc>
          <w:tcPr>
            <w:tcW w:type="dxa" w:w="2307"/>
          </w:tcPr>
          <w:p>
            <w:pPr>
              <w:pStyle w:val="null3"/>
              <w:jc w:val="left"/>
            </w:pPr>
            <w:r>
              <w:rPr/>
              <w:t>计划安排合理性、质量保障措施和保密措施二 (7.0分)</w:t>
            </w:r>
            <w:r>
              <w:rPr/>
              <w:t>，（等次分值选择：</w:t>
            </w:r>
            <w:r>
              <w:rPr/>
              <w:t>0.0;</w:t>
            </w:r>
            <w:r>
              <w:rPr/>
              <w:t>2.0;</w:t>
            </w:r>
            <w:r>
              <w:rPr/>
              <w:t>4.0;</w:t>
            </w:r>
            <w:r>
              <w:rPr/>
              <w:t>7.0;</w:t>
            </w:r>
            <w:r>
              <w:rPr/>
              <w:t>）</w:t>
            </w:r>
          </w:p>
        </w:tc>
        <w:tc>
          <w:tcPr>
            <w:tcW w:type="dxa" w:w="5076"/>
          </w:tcPr>
          <w:p>
            <w:pPr>
              <w:pStyle w:val="null3"/>
              <w:jc w:val="left"/>
            </w:pPr>
            <w:r>
              <w:rPr/>
              <w:t>根据“计划安排合理性、质量保障措施和保密措施一”的评审内容： （1）投标人能提供详细明确的项目工作时间安排，有设定明确的实施计划流程，每个工作节点衔接顺畅，质量保障措施和保密措施完整，目标明确，能提供详细的质量和保密控制过程所使用的方法、风险预防和应对措施，优于采购需求，得7分。 （2）投标人制定项目工作时间安排、实施计划流程和工作计划简单，质量保障措施和保密措施基本完整，目标基本明确，能提供简单的质量和保密控制过程所使用的方法、风险预防和应对措施，满足采购需求，得4分。 （3）投标人制定项目工作时间安排、实施计划流程和工作计划有缺漏，质量保障措施和保密措施简单，能提供简单的质量和保密控制过程所使用的方法，部分满足采购需求，得2分。 （4）其它或没有提供相关内容，得0分。</w:t>
            </w:r>
          </w:p>
        </w:tc>
      </w:tr>
      <w:tr>
        <w:tc>
          <w:tcPr>
            <w:tcW w:type="dxa" w:w="922"/>
            <w:gridSpan w:val="2"/>
            <w:vMerge/>
          </w:tcPr>
          <w:p/>
        </w:tc>
        <w:tc>
          <w:tcPr>
            <w:tcW w:type="dxa" w:w="2307"/>
          </w:tcPr>
          <w:p>
            <w:pPr>
              <w:pStyle w:val="null3"/>
              <w:jc w:val="left"/>
            </w:pPr>
            <w:r>
              <w:rPr/>
              <w:t>后续服务承诺一 (1.0分)</w:t>
            </w:r>
          </w:p>
        </w:tc>
        <w:tc>
          <w:tcPr>
            <w:tcW w:type="dxa" w:w="5076"/>
          </w:tcPr>
          <w:p>
            <w:pPr>
              <w:pStyle w:val="null3"/>
              <w:jc w:val="left"/>
            </w:pPr>
            <w:r>
              <w:rPr/>
              <w:t>根据投标人提供的后续服务承诺进行评审：内容包括①服务周期承诺；②后续服务承诺2项内容，每包含1项得0.5分，最高得1分。</w:t>
            </w:r>
          </w:p>
        </w:tc>
      </w:tr>
      <w:tr>
        <w:tc>
          <w:tcPr>
            <w:tcW w:type="dxa" w:w="922"/>
            <w:gridSpan w:val="2"/>
            <w:vMerge/>
          </w:tcPr>
          <w:p/>
        </w:tc>
        <w:tc>
          <w:tcPr>
            <w:tcW w:type="dxa" w:w="2307"/>
          </w:tcPr>
          <w:p>
            <w:pPr>
              <w:pStyle w:val="null3"/>
              <w:jc w:val="left"/>
            </w:pPr>
            <w:r>
              <w:rPr/>
              <w:t>后续服务承诺二 (3.0分)</w:t>
            </w:r>
            <w:r>
              <w:rPr/>
              <w:t>，（等次分值选择：</w:t>
            </w:r>
            <w:r>
              <w:rPr/>
              <w:t>0.0;</w:t>
            </w:r>
            <w:r>
              <w:rPr/>
              <w:t>1.0;</w:t>
            </w:r>
            <w:r>
              <w:rPr/>
              <w:t>2.0;</w:t>
            </w:r>
            <w:r>
              <w:rPr/>
              <w:t>3.0;</w:t>
            </w:r>
            <w:r>
              <w:rPr/>
              <w:t>）</w:t>
            </w:r>
          </w:p>
        </w:tc>
        <w:tc>
          <w:tcPr>
            <w:tcW w:type="dxa" w:w="5076"/>
          </w:tcPr>
          <w:p>
            <w:pPr>
              <w:pStyle w:val="null3"/>
              <w:jc w:val="left"/>
            </w:pPr>
            <w:r>
              <w:rPr/>
              <w:t>根据“后续服务承诺一”的评审内容： （1）投标人能承诺全力配合采购人项目工作的推进，具有对本项目规划长期跟踪研究服务的能力，得3分。 （2）投标人能承诺配合采购人项目工作的推进，具有基本的跟踪研究服务的能力，得2分。 （3）投标人能承诺配合采购人项目工作的推进但不具有跟踪研究服务的能力，得1分。 （4）其它或没有提供相关内容，得0分。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（1）2020年1月1日至今，投标人承接过综合交通规划或道路交通规划类项目，每提供一项得0.5分，本小项最高得5分。 （2）2020年1月1日至今，投标人承接过总体规划类项目，每提供1项得0.5分，本小项最高得5分。 注：业绩时间以合同签订时间为准，提供合同关键页（显示签订合同双方的单位名称、合同项目名称与含签订合同双方的落款盖章、签订日期）扫描件加盖投标人公章，否则不得分。</w:t>
            </w:r>
          </w:p>
        </w:tc>
      </w:tr>
      <w:tr>
        <w:tc>
          <w:tcPr>
            <w:tcW w:type="dxa" w:w="922"/>
            <w:gridSpan w:val="2"/>
            <w:vMerge/>
          </w:tcPr>
          <w:p/>
        </w:tc>
        <w:tc>
          <w:tcPr>
            <w:tcW w:type="dxa" w:w="2307"/>
          </w:tcPr>
          <w:p>
            <w:pPr>
              <w:pStyle w:val="null3"/>
              <w:jc w:val="left"/>
            </w:pPr>
            <w:r>
              <w:rPr/>
              <w:t>项目负责人资历情况 (8.0分)</w:t>
            </w:r>
          </w:p>
        </w:tc>
        <w:tc>
          <w:tcPr>
            <w:tcW w:type="dxa" w:w="5076"/>
          </w:tcPr>
          <w:p>
            <w:pPr>
              <w:pStyle w:val="null3"/>
              <w:jc w:val="left"/>
            </w:pPr>
            <w:r>
              <w:rPr/>
              <w:t>项目负责人（限1人）资历情况： （1）具有城市（乡）规划正高级职称且属于交通运输规划与管理或交通工程专业的得4分；具有城市（乡）规划副高级职称且属于交通运输规划与管理或交通工程专业的得2分；其他不得分，本小项最高得4分。 （2）2020年1月1日至今，参与过交通规划类项目业绩，每提供一项得1分，本小项最高得4分。 注：1、需提供上述人员的职称证、毕业证或学位证复印件及上述人员在投标截止日之前3个月内任意月份在投标人单位购买的加盖有社保管理部门印章的参保证明材料（免于参加社保的人员需提供相关证明材料，并加盖投标人公章。）或劳动合同复印件；2、需提供上述人员项目业绩相关证明材料，包括项目成果扉页和合同关键页（显示签订合同双方的单位名称、合同项目名称与含签订合同双方的落款盖章、签订日期），并加盖投标人公章，业绩时间以合同签订时间为准；3、无或未按要求提供证明材料的或提供资料不齐全的或无法认定的不得分。4、专业以毕业证或学位证为准。</w:t>
            </w:r>
          </w:p>
        </w:tc>
      </w:tr>
      <w:tr>
        <w:tc>
          <w:tcPr>
            <w:tcW w:type="dxa" w:w="922"/>
            <w:gridSpan w:val="2"/>
            <w:vMerge/>
          </w:tcPr>
          <w:p/>
        </w:tc>
        <w:tc>
          <w:tcPr>
            <w:tcW w:type="dxa" w:w="2307"/>
          </w:tcPr>
          <w:p>
            <w:pPr>
              <w:pStyle w:val="null3"/>
              <w:jc w:val="left"/>
            </w:pPr>
            <w:r>
              <w:rPr/>
              <w:t>项目团队资历情况（不含项目负责人） (16.0分)</w:t>
            </w:r>
          </w:p>
        </w:tc>
        <w:tc>
          <w:tcPr>
            <w:tcW w:type="dxa" w:w="5076"/>
          </w:tcPr>
          <w:p>
            <w:pPr>
              <w:pStyle w:val="null3"/>
              <w:jc w:val="left"/>
            </w:pPr>
            <w:r>
              <w:rPr/>
              <w:t>项目团队成员配置（不包含项目负责人）： （1）具有城市（乡）规划高级工程师职称且属于交通运输规划与管理或交通工程专业的，每提供1个得1分；具有城市（乡）规划中级工程师职称且属于交通运输规划与管理或交通工程专业的，每提供1个得0.5分，本小项最高得8分。 （2）具有城市（乡）规划高级工程师职称且属于城乡规划专业的，每提供1个得1分；具有城市（乡）规划中级工程师职称且属于城乡规划专业的，每提供1个得0.5分，本小项最高得8分。 注：提供职称证、毕业证或学位证复印件及上述人员在投标截止日之前3个月内任意月份在投标人单位购买的加盖有社保管理部门印章的参保证明材料（免于参加社保的人员需提供相关证明材料，并加盖投标人公章。）或劳动合同复印件，不提供或其他情况不得分。专业以毕业证或学位证为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投标人具有有效期内的①质量管理体系认证证书②职业健康安全管理体系认证证书③环境管理体系认证证书，每个证书得1分，最高3分。 注：投标人须提供相应有效期内的认证证书复印件及网上查询截图（中国国家认证认可监督管理委员会http://www.cnca.gov.cn/或国家市场监督管理总局http://cx.cnca.cn/），并加盖投标人单位公章，未提供证明材料或证明材料不全的不得分。新成立的公司因实施运行不满3个月无法办理认证证书的，可对应得分。</w:t>
            </w:r>
          </w:p>
        </w:tc>
      </w:tr>
      <w:tr>
        <w:tc>
          <w:tcPr>
            <w:tcW w:type="dxa" w:w="922"/>
            <w:gridSpan w:val="2"/>
            <w:vMerge/>
          </w:tcPr>
          <w:p/>
        </w:tc>
        <w:tc>
          <w:tcPr>
            <w:tcW w:type="dxa" w:w="2307"/>
          </w:tcPr>
          <w:p>
            <w:pPr>
              <w:pStyle w:val="null3"/>
              <w:jc w:val="left"/>
            </w:pPr>
            <w:r>
              <w:rPr/>
              <w:t>现场服务响应承诺 (3.0分)</w:t>
            </w:r>
          </w:p>
        </w:tc>
        <w:tc>
          <w:tcPr>
            <w:tcW w:type="dxa" w:w="5076"/>
          </w:tcPr>
          <w:p>
            <w:pPr>
              <w:pStyle w:val="null3"/>
              <w:jc w:val="left"/>
            </w:pPr>
            <w:r>
              <w:rPr/>
              <w:t>（1）收到采购人通知（电话或书面）后0.5小时内（含0.5小时）响应的，得3分； （2）收到采购人通知（电话或书面）后1小时内（含1小时）响应的，得2分； （3）收到采购人通知（电话或书面）后2小时内（含2小时）响应的，得1分； （4）其他，得0分。 注：须提供加盖投标人公章的服务承诺函，并加盖单位公章。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30"/>
        </w:rPr>
        <w:t xml:space="preserve">      项目名称：</w:t>
      </w:r>
    </w:p>
    <w:p>
      <w:pPr>
        <w:pStyle w:val="null3"/>
        <w:jc w:val="both"/>
      </w:pPr>
      <w:r>
        <w:rPr/>
        <w:t xml:space="preserve"> </w:t>
      </w:r>
    </w:p>
    <w:p>
      <w:pPr>
        <w:pStyle w:val="null3"/>
        <w:jc w:val="both"/>
      </w:pPr>
      <w:r>
        <w:rPr>
          <w:sz w:val="30"/>
        </w:rPr>
        <w:t xml:space="preserve">      委 托 方：</w:t>
      </w:r>
    </w:p>
    <w:p>
      <w:pPr>
        <w:pStyle w:val="null3"/>
        <w:jc w:val="both"/>
      </w:pPr>
      <w:r>
        <w:rPr>
          <w:sz w:val="30"/>
        </w:rPr>
        <w:t xml:space="preserve">      （甲 方）</w:t>
      </w:r>
    </w:p>
    <w:p>
      <w:pPr>
        <w:pStyle w:val="null3"/>
        <w:jc w:val="both"/>
      </w:pPr>
      <w:r>
        <w:rPr/>
        <w:t xml:space="preserve"> </w:t>
      </w:r>
    </w:p>
    <w:p>
      <w:pPr>
        <w:pStyle w:val="null3"/>
        <w:jc w:val="both"/>
      </w:pPr>
      <w:r>
        <w:rPr>
          <w:sz w:val="30"/>
        </w:rPr>
        <w:t xml:space="preserve">      受 托 方：</w:t>
      </w:r>
    </w:p>
    <w:p>
      <w:pPr>
        <w:pStyle w:val="null3"/>
        <w:jc w:val="both"/>
      </w:pPr>
      <w:r>
        <w:rPr>
          <w:sz w:val="30"/>
        </w:rPr>
        <w:t xml:space="preserve">      （乙 方）</w:t>
      </w:r>
    </w:p>
    <w:p>
      <w:pPr>
        <w:pStyle w:val="null3"/>
        <w:jc w:val="both"/>
      </w:pPr>
      <w:r>
        <w:rPr/>
        <w:t xml:space="preserve"> </w:t>
      </w:r>
    </w:p>
    <w:p>
      <w:pPr>
        <w:pStyle w:val="null3"/>
        <w:jc w:val="both"/>
      </w:pPr>
      <w:r>
        <w:rPr>
          <w:sz w:val="30"/>
        </w:rPr>
        <w:t xml:space="preserve">      签订时间：</w:t>
      </w:r>
    </w:p>
    <w:p>
      <w:pPr>
        <w:pStyle w:val="null3"/>
        <w:jc w:val="both"/>
      </w:pPr>
      <w:r>
        <w:rPr/>
        <w:t xml:space="preserve"> </w:t>
      </w:r>
    </w:p>
    <w:p>
      <w:pPr>
        <w:pStyle w:val="null3"/>
        <w:jc w:val="both"/>
      </w:pPr>
      <w:r>
        <w:rPr>
          <w:sz w:val="30"/>
        </w:rPr>
        <w:t xml:space="preserve">      签订地点：</w:t>
      </w:r>
    </w:p>
    <w:p>
      <w:pPr>
        <w:pStyle w:val="null3"/>
        <w:jc w:val="both"/>
      </w:pPr>
      <w:r>
        <w:rPr/>
        <w:t xml:space="preserve"> </w:t>
      </w:r>
    </w:p>
    <w:p>
      <w:pPr>
        <w:pStyle w:val="null3"/>
        <w:jc w:val="both"/>
      </w:pPr>
      <w:r>
        <w:rPr>
          <w:sz w:val="30"/>
        </w:rPr>
        <w:t xml:space="preserve">      有效期限：</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b/>
        </w:rPr>
        <w:t>填写说明</w:t>
      </w:r>
    </w:p>
    <w:p>
      <w:pPr>
        <w:pStyle w:val="null3"/>
        <w:jc w:val="both"/>
      </w:pPr>
      <w:r>
        <w:rPr>
          <w:sz w:val="24"/>
        </w:rPr>
        <w:t>一、本合同为中华人民共和国科学技术部印制的技术服务合同示范文本，各技术合同认定登记机构可推介技术合同当事人参照使用。</w:t>
      </w:r>
    </w:p>
    <w:p>
      <w:pPr>
        <w:pStyle w:val="null3"/>
        <w:ind w:firstLine="425"/>
        <w:jc w:val="both"/>
      </w:pPr>
      <w:r>
        <w:rPr>
          <w:sz w:val="24"/>
        </w:rPr>
        <w:t>二、本合同书适用于一方当事人（受托方）以技术知识为另一方（委托方）解决特定技术问题所订立的合同。</w:t>
      </w:r>
    </w:p>
    <w:p>
      <w:pPr>
        <w:pStyle w:val="null3"/>
        <w:ind w:firstLine="425"/>
        <w:jc w:val="both"/>
      </w:pPr>
      <w:r>
        <w:rPr>
          <w:sz w:val="24"/>
        </w:rPr>
        <w:t>三、签约一方为多个当事人的，可按各自在合同关系中的作用等，在“委托方”、“受托方”项下（增页）分别排列为共同委托人或共同受托人。</w:t>
      </w:r>
    </w:p>
    <w:p>
      <w:pPr>
        <w:pStyle w:val="null3"/>
        <w:ind w:firstLine="425"/>
        <w:jc w:val="both"/>
      </w:pPr>
      <w:r>
        <w:rPr>
          <w:sz w:val="24"/>
        </w:rPr>
        <w:t>四、本合同书未尽事项，可由当事人附页另行约定，并作为本合同的组成部分。</w:t>
      </w:r>
    </w:p>
    <w:p>
      <w:pPr>
        <w:pStyle w:val="null3"/>
        <w:ind w:firstLine="425"/>
        <w:jc w:val="both"/>
      </w:pPr>
      <w:r>
        <w:rPr>
          <w:sz w:val="24"/>
        </w:rPr>
        <w:t>五、当事人使用本合同书时约定无需填写的条款，应在该条款处注明“无”等字样。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技术服务合同</w:t>
      </w:r>
    </w:p>
    <w:p>
      <w:pPr>
        <w:pStyle w:val="null3"/>
        <w:jc w:val="both"/>
      </w:pPr>
      <w:r>
        <w:rPr>
          <w:sz w:val="24"/>
        </w:rPr>
        <w:t>委托方（甲方）：</w:t>
      </w:r>
      <w:r>
        <w:rPr>
          <w:sz w:val="24"/>
          <w:u w:val="single"/>
        </w:rPr>
        <w:t>广州市规划和自然资源局</w:t>
      </w:r>
    </w:p>
    <w:p>
      <w:pPr>
        <w:pStyle w:val="null3"/>
        <w:jc w:val="both"/>
      </w:pPr>
      <w:r>
        <w:rPr>
          <w:sz w:val="24"/>
        </w:rPr>
        <w:t>住所地：</w:t>
      </w:r>
      <w:r>
        <w:rPr>
          <w:sz w:val="24"/>
          <w:u w:val="single"/>
        </w:rPr>
        <w:t>广州市越秀区吉祥路80号</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广州市越秀区吉祥路80号</w:t>
      </w:r>
    </w:p>
    <w:p>
      <w:pPr>
        <w:pStyle w:val="null3"/>
        <w:jc w:val="both"/>
      </w:pPr>
      <w:r>
        <w:rPr>
          <w:sz w:val="24"/>
        </w:rPr>
        <w:t>电话：传真：</w:t>
      </w:r>
    </w:p>
    <w:p>
      <w:pPr>
        <w:pStyle w:val="null3"/>
        <w:jc w:val="both"/>
      </w:pPr>
      <w:r>
        <w:rPr>
          <w:sz w:val="24"/>
        </w:rPr>
        <w:t>电子信箱：</w:t>
      </w:r>
    </w:p>
    <w:p>
      <w:pPr>
        <w:pStyle w:val="null3"/>
        <w:jc w:val="both"/>
      </w:pPr>
      <w:r>
        <w:rPr>
          <w:sz w:val="24"/>
        </w:rPr>
        <w:t>委托方（乙方）：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ind w:firstLine="480"/>
        <w:jc w:val="both"/>
      </w:pPr>
      <w:r>
        <w:rPr>
          <w:sz w:val="24"/>
        </w:rPr>
        <w:t>本合同甲方委托乙方就</w:t>
      </w:r>
      <w:r>
        <w:rPr>
          <w:sz w:val="24"/>
          <w:u w:val="single"/>
        </w:rPr>
        <w:t>城维计划-综合交通规划编制经费（子项14：广州乡村风景道专项总体规划和建设技术指引）</w:t>
      </w:r>
      <w:r>
        <w:rPr>
          <w:sz w:val="24"/>
        </w:rPr>
        <w:t>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w:t>
      </w:r>
      <w:r>
        <w:rPr>
          <w:sz w:val="24"/>
        </w:rPr>
        <w:t>甲方委托乙方进行技术服务的内容如下：</w:t>
      </w:r>
    </w:p>
    <w:p>
      <w:pPr>
        <w:pStyle w:val="null3"/>
        <w:ind w:firstLine="480"/>
        <w:jc w:val="both"/>
      </w:pPr>
      <w:r>
        <w:rPr>
          <w:sz w:val="24"/>
        </w:rPr>
        <w:t>1.技术服务的目标：</w:t>
      </w:r>
      <w:r>
        <w:rPr>
          <w:sz w:val="24"/>
          <w:u w:val="single"/>
        </w:rPr>
        <w:t>针对谋划打造广州市千里乡村风景道，编制乡村风景道建设指引，推动乡村振兴重大战略和百县千镇万村高质量发展工程落地实施，促进城乡协调发展。</w:t>
      </w:r>
    </w:p>
    <w:p>
      <w:pPr>
        <w:pStyle w:val="null3"/>
        <w:ind w:firstLine="480"/>
        <w:jc w:val="both"/>
      </w:pPr>
      <w:r>
        <w:rPr>
          <w:sz w:val="24"/>
        </w:rPr>
        <w:t>2.服务范围：</w:t>
      </w:r>
      <w:r>
        <w:rPr>
          <w:sz w:val="24"/>
          <w:u w:val="single"/>
        </w:rPr>
        <w:t>广州市全域，总面积约7434.40平方公里。</w:t>
      </w:r>
    </w:p>
    <w:p>
      <w:pPr>
        <w:pStyle w:val="null3"/>
        <w:ind w:firstLine="480"/>
        <w:jc w:val="both"/>
      </w:pPr>
      <w:r>
        <w:rPr>
          <w:sz w:val="24"/>
        </w:rPr>
        <w:t>3.技术服务的内容：</w:t>
      </w:r>
    </w:p>
    <w:p>
      <w:pPr>
        <w:pStyle w:val="null3"/>
        <w:ind w:firstLine="480"/>
        <w:jc w:val="both"/>
      </w:pPr>
      <w:r>
        <w:rPr>
          <w:sz w:val="24"/>
          <w:u w:val="single"/>
        </w:rPr>
        <w:t>广州乡村风景道以现状农村公路网为基础，通过路面改造、整治次差路和危破桥、绿化景观提升、打通村与村之间断头路等升级改造举措，形成串联全市众多美丽乡村、农业产业园、文化遗址及生态景观的最美乡村风景道网络。为打造广州乡村风景道，拟编制广州乡村风景道专项总体规划和广州乡村风景道建设技术指引。</w:t>
      </w:r>
    </w:p>
    <w:p>
      <w:pPr>
        <w:pStyle w:val="null3"/>
        <w:ind w:firstLine="480"/>
        <w:jc w:val="both"/>
      </w:pPr>
      <w:r>
        <w:rPr>
          <w:sz w:val="24"/>
          <w:u w:val="single"/>
        </w:rPr>
        <w:t>（一）广州市千里乡村风景道专项总体规划</w:t>
      </w:r>
    </w:p>
    <w:p>
      <w:pPr>
        <w:pStyle w:val="null3"/>
        <w:ind w:firstLine="480"/>
        <w:jc w:val="both"/>
      </w:pPr>
      <w:r>
        <w:rPr>
          <w:sz w:val="24"/>
          <w:u w:val="single"/>
        </w:rPr>
        <w:t>摸查广州市农村公路建设现状，整合分类广州市各类资源点，借鉴国内外主题风景道规划建设成功经验，制定广州乡村风景道空间布局和选线方案、分区主题策划、建设实施计划等内容，作为乡村风景道和示范段建设实施的依据，指导各区开展工作。</w:t>
      </w:r>
    </w:p>
    <w:p>
      <w:pPr>
        <w:pStyle w:val="null3"/>
        <w:ind w:firstLine="480"/>
        <w:jc w:val="both"/>
      </w:pPr>
      <w:r>
        <w:rPr>
          <w:sz w:val="24"/>
          <w:u w:val="single"/>
        </w:rPr>
        <w:t>（1）现状情况摸查及资源梳理</w:t>
      </w:r>
    </w:p>
    <w:p>
      <w:pPr>
        <w:pStyle w:val="null3"/>
        <w:ind w:firstLine="480"/>
        <w:jc w:val="both"/>
      </w:pPr>
      <w:r>
        <w:rPr>
          <w:sz w:val="24"/>
          <w:u w:val="single"/>
        </w:rPr>
        <w:t>针对广州农村公路现状进行补充调研，结合大数据分析梳理沿线资源，从乡村资源点、农村公路等方面分析现状发展特征及存在问题。</w:t>
      </w:r>
    </w:p>
    <w:p>
      <w:pPr>
        <w:pStyle w:val="null3"/>
        <w:ind w:firstLine="480"/>
        <w:jc w:val="both"/>
      </w:pPr>
      <w:r>
        <w:rPr>
          <w:sz w:val="24"/>
          <w:u w:val="single"/>
        </w:rPr>
        <w:t>（2）先进案例对标及经验启示</w:t>
      </w:r>
    </w:p>
    <w:p>
      <w:pPr>
        <w:pStyle w:val="null3"/>
        <w:ind w:firstLine="480"/>
        <w:jc w:val="both"/>
      </w:pPr>
      <w:r>
        <w:rPr>
          <w:sz w:val="24"/>
          <w:u w:val="single"/>
        </w:rPr>
        <w:t>选取国内外先进城市的主题型风景道案例进行分析，研究风景道建设成效、空间布局、资源串联等方面的优秀经验，提炼对广州乡村风景道的建设启示。</w:t>
      </w:r>
    </w:p>
    <w:p>
      <w:pPr>
        <w:pStyle w:val="null3"/>
        <w:ind w:firstLine="480"/>
        <w:jc w:val="both"/>
      </w:pPr>
      <w:r>
        <w:rPr>
          <w:sz w:val="24"/>
          <w:u w:val="single"/>
        </w:rPr>
        <w:t>（3）总体要求与空间布局方案</w:t>
      </w:r>
    </w:p>
    <w:p>
      <w:pPr>
        <w:pStyle w:val="null3"/>
        <w:ind w:firstLine="480"/>
        <w:jc w:val="both"/>
      </w:pPr>
      <w:r>
        <w:rPr>
          <w:sz w:val="24"/>
          <w:u w:val="single"/>
        </w:rPr>
        <w:t>■总体要求。着眼于构建全市完善乡村风景道网络体系，提升乡村地区的道路通达性和文旅吸引力，制定广州千里乡村风景道建设的目标及策略。</w:t>
      </w:r>
    </w:p>
    <w:p>
      <w:pPr>
        <w:pStyle w:val="null3"/>
        <w:ind w:firstLine="480"/>
        <w:jc w:val="both"/>
      </w:pPr>
      <w:r>
        <w:rPr>
          <w:sz w:val="24"/>
          <w:u w:val="single"/>
        </w:rPr>
        <w:t>■功能定位。从彰显岭南乡村风貌、产业发展、人文生态体验、健身康养等方面提出千里乡村风景道的功能定位，多维度综合展现广州乡村价值。</w:t>
      </w:r>
    </w:p>
    <w:p>
      <w:pPr>
        <w:pStyle w:val="null3"/>
        <w:ind w:firstLine="480"/>
        <w:jc w:val="both"/>
      </w:pPr>
      <w:r>
        <w:rPr>
          <w:sz w:val="24"/>
          <w:u w:val="single"/>
        </w:rPr>
        <w:t>■空间布局方案。综合考虑沿线乡村分布、资源集聚度以及农村公路等情况进行选线，分级分类，形成全市乡村风景道总体空间布局方案。</w:t>
      </w:r>
    </w:p>
    <w:p>
      <w:pPr>
        <w:pStyle w:val="null3"/>
        <w:ind w:firstLine="480"/>
        <w:jc w:val="both"/>
      </w:pPr>
      <w:r>
        <w:rPr>
          <w:sz w:val="24"/>
          <w:u w:val="single"/>
        </w:rPr>
        <w:t>（4）分区主题策划及发展指引</w:t>
      </w:r>
    </w:p>
    <w:p>
      <w:pPr>
        <w:pStyle w:val="null3"/>
        <w:ind w:firstLine="480"/>
        <w:jc w:val="both"/>
      </w:pPr>
      <w:r>
        <w:rPr>
          <w:sz w:val="24"/>
          <w:u w:val="single"/>
        </w:rPr>
        <w:t>根据不同涉农区的自然禀赋和历史文化特色，提出相应分段的主题定位、发展方向、关键策略等，打造各区各具特色的乡村风景道。</w:t>
      </w:r>
    </w:p>
    <w:p>
      <w:pPr>
        <w:pStyle w:val="null3"/>
        <w:ind w:firstLine="480"/>
        <w:jc w:val="both"/>
      </w:pPr>
      <w:r>
        <w:rPr>
          <w:sz w:val="24"/>
          <w:u w:val="single"/>
        </w:rPr>
        <w:t>（5）建设实施计划</w:t>
      </w:r>
    </w:p>
    <w:p>
      <w:pPr>
        <w:pStyle w:val="null3"/>
        <w:ind w:firstLine="480"/>
        <w:jc w:val="both"/>
      </w:pPr>
      <w:r>
        <w:rPr>
          <w:sz w:val="24"/>
          <w:u w:val="single"/>
        </w:rPr>
        <w:t>结合各区上报的建设实施计划，结合全市的总体布局和分区主题，提出建设实施项目库，指导各区建设任务按计划推进。</w:t>
      </w:r>
    </w:p>
    <w:p>
      <w:pPr>
        <w:pStyle w:val="null3"/>
        <w:ind w:firstLine="480"/>
        <w:jc w:val="both"/>
      </w:pPr>
      <w:r>
        <w:rPr>
          <w:sz w:val="24"/>
          <w:u w:val="single"/>
        </w:rPr>
        <w:t>（二）</w:t>
      </w:r>
      <w:r>
        <w:rPr>
          <w:sz w:val="24"/>
          <w:u w:val="single"/>
        </w:rPr>
        <w:t>广州市千里乡村风景道建设技术指引</w:t>
      </w:r>
    </w:p>
    <w:p>
      <w:pPr>
        <w:pStyle w:val="null3"/>
        <w:ind w:firstLine="480"/>
        <w:jc w:val="both"/>
      </w:pPr>
      <w:r>
        <w:rPr>
          <w:sz w:val="24"/>
          <w:u w:val="single"/>
        </w:rPr>
        <w:t>规范和指导广州乡村风景道建设，支撑引领农村文旅体系和生态宜居美丽乡村建设，在总结国内外乡村风景道建设成果和经验的基础上，制定不同风貌下的道路详细断面指导广州市风景道的建设。</w:t>
      </w:r>
    </w:p>
    <w:p>
      <w:pPr>
        <w:pStyle w:val="null3"/>
        <w:ind w:firstLine="480"/>
        <w:jc w:val="both"/>
      </w:pPr>
      <w:r>
        <w:rPr>
          <w:sz w:val="24"/>
          <w:u w:val="single"/>
        </w:rPr>
        <w:t>（1）现状建设条件摸查</w:t>
      </w:r>
    </w:p>
    <w:p>
      <w:pPr>
        <w:pStyle w:val="null3"/>
        <w:ind w:firstLine="480"/>
        <w:jc w:val="both"/>
      </w:pPr>
      <w:r>
        <w:rPr>
          <w:sz w:val="24"/>
          <w:u w:val="single"/>
        </w:rPr>
        <w:t>重点从乡村公路连通性、机动车道和慢行道宽度设置、道路铺装、沿线服务设施、交通安全设施、风貌品质等方面，分析现状农村公路在打造乡村风景道方面存在的不足。</w:t>
      </w:r>
    </w:p>
    <w:p>
      <w:pPr>
        <w:pStyle w:val="null3"/>
        <w:ind w:firstLine="480"/>
        <w:jc w:val="both"/>
      </w:pPr>
      <w:r>
        <w:rPr>
          <w:sz w:val="24"/>
          <w:u w:val="single"/>
        </w:rPr>
        <w:t>（2）相关标准及建设指引研究</w:t>
      </w:r>
    </w:p>
    <w:p>
      <w:pPr>
        <w:pStyle w:val="null3"/>
        <w:ind w:firstLine="480"/>
        <w:jc w:val="both"/>
      </w:pPr>
      <w:r>
        <w:rPr>
          <w:sz w:val="24"/>
          <w:u w:val="single"/>
        </w:rPr>
        <w:t>全面梳理分析国家、省、市等印发实施的与乡村风景道相关的规划设计标准和建设技术指引，以高质量发展为原则，分类归纳、系统分析并整理形成本次建设技术指引的基础。</w:t>
      </w:r>
    </w:p>
    <w:p>
      <w:pPr>
        <w:pStyle w:val="null3"/>
        <w:ind w:firstLine="480"/>
        <w:jc w:val="both"/>
      </w:pPr>
      <w:r>
        <w:rPr>
          <w:sz w:val="24"/>
          <w:u w:val="single"/>
        </w:rPr>
        <w:t>（3）国内外风景经验借鉴</w:t>
      </w:r>
    </w:p>
    <w:p>
      <w:pPr>
        <w:pStyle w:val="null3"/>
        <w:ind w:firstLine="480"/>
        <w:jc w:val="both"/>
      </w:pPr>
      <w:r>
        <w:rPr>
          <w:sz w:val="24"/>
          <w:u w:val="single"/>
        </w:rPr>
        <w:t>选取国内外先进城市的主题型风景道案例，针对主题性风景道的建设技术标准，重点从车行系统、慢行系统、配套设施、标识系统、景观环境等5个方面总结国内外乡村风景道的建设先进经验。</w:t>
      </w:r>
    </w:p>
    <w:p>
      <w:pPr>
        <w:pStyle w:val="null3"/>
        <w:ind w:firstLine="480"/>
        <w:jc w:val="both"/>
      </w:pPr>
      <w:r>
        <w:rPr>
          <w:sz w:val="24"/>
          <w:u w:val="single"/>
        </w:rPr>
        <w:t>（4）建设技术指引内容</w:t>
      </w:r>
    </w:p>
    <w:p>
      <w:pPr>
        <w:pStyle w:val="null3"/>
        <w:ind w:firstLine="480"/>
        <w:jc w:val="both"/>
      </w:pPr>
      <w:r>
        <w:rPr>
          <w:sz w:val="24"/>
          <w:u w:val="single"/>
        </w:rPr>
        <w:t>结合广州农村工作规划建设的工作实际，研究乡村风景道的建设技术标准，明确设计控制要素与内容。</w:t>
      </w:r>
    </w:p>
    <w:p>
      <w:pPr>
        <w:pStyle w:val="null3"/>
        <w:ind w:firstLine="480"/>
        <w:jc w:val="both"/>
      </w:pPr>
      <w:r>
        <w:rPr>
          <w:sz w:val="24"/>
          <w:u w:val="single"/>
        </w:rPr>
        <w:t>■车行系统。从乡村风景道的建设标准、与交通接驳设施、旅游资源点的互联互通水平等方面提出车行系统的建设要求。</w:t>
      </w:r>
    </w:p>
    <w:p>
      <w:pPr>
        <w:pStyle w:val="null3"/>
        <w:ind w:firstLine="480"/>
        <w:jc w:val="both"/>
      </w:pPr>
      <w:r>
        <w:rPr>
          <w:sz w:val="24"/>
          <w:u w:val="single"/>
        </w:rPr>
        <w:t>■慢行系统。对乡村风景道的慢行空间以及与周边绿道、碧道等慢行系统的衔接方面提要求。</w:t>
      </w:r>
    </w:p>
    <w:p>
      <w:pPr>
        <w:pStyle w:val="null3"/>
        <w:ind w:firstLine="480"/>
        <w:jc w:val="both"/>
      </w:pPr>
      <w:r>
        <w:rPr>
          <w:sz w:val="24"/>
          <w:u w:val="single"/>
        </w:rPr>
        <w:t>■配套设施。从沿线服务驿站、服务区、停车场、观景路系统等方面提出配套设施的要求。</w:t>
      </w:r>
    </w:p>
    <w:p>
      <w:pPr>
        <w:pStyle w:val="null3"/>
        <w:ind w:firstLine="480"/>
        <w:jc w:val="both"/>
      </w:pPr>
      <w:r>
        <w:rPr>
          <w:sz w:val="24"/>
          <w:u w:val="single"/>
        </w:rPr>
        <w:t>■标识系统。从道路标识、导向标识、安全标识等提出建设要求。</w:t>
      </w:r>
    </w:p>
    <w:p>
      <w:pPr>
        <w:pStyle w:val="null3"/>
        <w:ind w:firstLine="480"/>
        <w:jc w:val="both"/>
      </w:pPr>
      <w:r>
        <w:rPr>
          <w:sz w:val="24"/>
          <w:u w:val="single"/>
        </w:rPr>
        <w:t>■景观环境。从山、水、林、田、居、路等方面对乡村风景道沿线视域范围的景观环境设施提建设要求。</w:t>
      </w:r>
    </w:p>
    <w:p>
      <w:pPr>
        <w:pStyle w:val="null3"/>
        <w:ind w:firstLine="480"/>
        <w:jc w:val="both"/>
      </w:pPr>
      <w:r>
        <w:rPr>
          <w:sz w:val="24"/>
        </w:rPr>
        <w:t>4.技术服务的方式：</w:t>
      </w:r>
      <w:r>
        <w:rPr>
          <w:sz w:val="24"/>
          <w:u w:val="single"/>
        </w:rPr>
        <w:t>总价包干</w:t>
      </w:r>
      <w:r>
        <w:rPr>
          <w:sz w:val="24"/>
        </w:rPr>
        <w:t>。</w:t>
      </w:r>
    </w:p>
    <w:p>
      <w:pPr>
        <w:pStyle w:val="null3"/>
        <w:ind w:firstLine="480"/>
        <w:jc w:val="both"/>
      </w:pPr>
      <w:r>
        <w:rPr>
          <w:sz w:val="24"/>
        </w:rPr>
        <w:t>5.为保证项目工作的持续性，承接单位需提供后续服务保障，协助完成项目报批及成果宣传工作。</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自合同签订之日起至2024年12月31日。乙方需在合同到期之前按照工作任务要求完成并提交规划研究成果。</w:t>
      </w:r>
    </w:p>
    <w:p>
      <w:pPr>
        <w:pStyle w:val="null3"/>
        <w:ind w:firstLine="480"/>
        <w:jc w:val="both"/>
      </w:pPr>
      <w:r>
        <w:rPr>
          <w:sz w:val="24"/>
        </w:rPr>
        <w:t>3.技术服务团队要求：</w:t>
      </w:r>
      <w:r>
        <w:rPr>
          <w:sz w:val="24"/>
          <w:u w:val="single"/>
        </w:rPr>
        <w:t xml:space="preserve">                       。</w:t>
      </w:r>
    </w:p>
    <w:p>
      <w:pPr>
        <w:pStyle w:val="null3"/>
        <w:ind w:firstLine="480"/>
        <w:jc w:val="both"/>
      </w:pPr>
      <w:r>
        <w:rPr>
          <w:sz w:val="24"/>
        </w:rPr>
        <w:t>4.技术服务进度：</w:t>
      </w:r>
      <w:r>
        <w:rPr>
          <w:sz w:val="24"/>
          <w:u w:val="single"/>
        </w:rPr>
        <w:t xml:space="preserve">                           。</w:t>
      </w:r>
    </w:p>
    <w:p>
      <w:pPr>
        <w:pStyle w:val="null3"/>
        <w:ind w:firstLine="480"/>
        <w:jc w:val="both"/>
      </w:pPr>
      <w:r>
        <w:rPr>
          <w:sz w:val="24"/>
        </w:rPr>
        <w:t>5.技术服务质量要求：</w:t>
      </w:r>
    </w:p>
    <w:p>
      <w:pPr>
        <w:pStyle w:val="null3"/>
        <w:ind w:firstLine="480"/>
        <w:jc w:val="both"/>
      </w:pPr>
      <w:r>
        <w:rPr>
          <w:sz w:val="24"/>
          <w:u w:val="single"/>
        </w:rPr>
        <w:t>规划成果的内容必须符合本采购需求各条款的规定和要求。由纸质成果和电子成果组成。</w:t>
      </w:r>
    </w:p>
    <w:p>
      <w:pPr>
        <w:pStyle w:val="null3"/>
        <w:ind w:firstLine="480"/>
        <w:jc w:val="both"/>
      </w:pPr>
      <w:r>
        <w:rPr>
          <w:sz w:val="24"/>
          <w:u w:val="single"/>
        </w:rPr>
        <w:t>（1）纸质成果：</w:t>
      </w:r>
    </w:p>
    <w:p>
      <w:pPr>
        <w:pStyle w:val="null3"/>
        <w:ind w:firstLine="480"/>
        <w:jc w:val="both"/>
      </w:pPr>
      <w:r>
        <w:rPr>
          <w:sz w:val="24"/>
          <w:u w:val="single"/>
        </w:rPr>
        <w:t>1.1阶段性成果要求：①研究成果必须做到清晰、完整、表达准确，符合各阶段成果要求；②打印装订规格为A4（展板除外）；③每次提交的阶段性成果请打印规格统一，便于归档保存；同类图纸规格应尽量统一；④出于环保考虑，文字部分请双面打印（图纸除外）；⑤打印数量以满足审查要求为准。</w:t>
      </w:r>
    </w:p>
    <w:p>
      <w:pPr>
        <w:pStyle w:val="null3"/>
        <w:ind w:firstLine="480"/>
        <w:jc w:val="both"/>
      </w:pPr>
      <w:r>
        <w:rPr>
          <w:sz w:val="24"/>
          <w:u w:val="single"/>
        </w:rPr>
        <w:t>1.2最终成果要求：必须满足上述阶段性成果要求，另外最终成果需在文本文件上标注组织单位名称和主要协调人员名称，乙方名称及法人代表、项目负责人和设计人员名单，并加盖乙方成果专用章。最终成果至少3套。</w:t>
      </w:r>
    </w:p>
    <w:p>
      <w:pPr>
        <w:pStyle w:val="null3"/>
        <w:ind w:firstLine="480"/>
        <w:jc w:val="both"/>
      </w:pPr>
      <w:r>
        <w:rPr>
          <w:sz w:val="24"/>
          <w:u w:val="single"/>
        </w:rPr>
        <w:t>（2）电子成果</w:t>
      </w:r>
    </w:p>
    <w:p>
      <w:pPr>
        <w:pStyle w:val="null3"/>
        <w:ind w:firstLine="480"/>
        <w:jc w:val="both"/>
      </w:pPr>
      <w:r>
        <w:rPr>
          <w:sz w:val="24"/>
          <w:u w:val="single"/>
        </w:rPr>
        <w:t>最终成果必须刻录光盘形式提交，3套</w:t>
      </w:r>
      <w:r>
        <w:rPr>
          <w:sz w:val="24"/>
          <w:u w:val="single"/>
        </w:rPr>
        <w:t>。电子成果包括：与上述纸质成果对应的历次阶段性成果和最终成果，报告采用word或PPT格式，图形文件采用dwg、jpg、gis格式。</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由甲乙双方协商确定</w:t>
      </w:r>
    </w:p>
    <w:p>
      <w:pPr>
        <w:pStyle w:val="null3"/>
        <w:ind w:firstLine="480"/>
        <w:jc w:val="both"/>
      </w:pPr>
      <w:r>
        <w:rPr>
          <w:sz w:val="24"/>
        </w:rPr>
        <w:t>2.提供工作条件：</w:t>
      </w:r>
    </w:p>
    <w:p>
      <w:pPr>
        <w:pStyle w:val="null3"/>
        <w:ind w:firstLine="480"/>
        <w:jc w:val="both"/>
      </w:pPr>
      <w:r>
        <w:rPr>
          <w:sz w:val="24"/>
        </w:rPr>
        <w:t>（1）</w:t>
      </w:r>
      <w:r>
        <w:rPr>
          <w:sz w:val="24"/>
          <w:u w:val="single"/>
        </w:rPr>
        <w:t>协助开展资料收集及现场调查</w:t>
      </w:r>
    </w:p>
    <w:p>
      <w:pPr>
        <w:pStyle w:val="null3"/>
        <w:ind w:firstLine="480"/>
        <w:jc w:val="both"/>
      </w:pPr>
      <w:r>
        <w:rPr>
          <w:sz w:val="24"/>
        </w:rPr>
        <w:t>（2）</w:t>
      </w:r>
      <w:r>
        <w:rPr>
          <w:sz w:val="24"/>
          <w:u w:val="single"/>
        </w:rPr>
        <w:t>负责协调有关部门</w:t>
      </w:r>
    </w:p>
    <w:p>
      <w:pPr>
        <w:pStyle w:val="null3"/>
        <w:ind w:firstLine="480"/>
        <w:jc w:val="both"/>
      </w:pPr>
      <w:r>
        <w:rPr>
          <w:sz w:val="24"/>
        </w:rPr>
        <w:t>3.其他：</w:t>
      </w:r>
      <w:r>
        <w:rPr>
          <w:sz w:val="24"/>
          <w:u w:val="single"/>
        </w:rPr>
        <w:t>负责组织成果评审和报审</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1.技术服务费总额为：</w:t>
      </w:r>
      <w:r>
        <w:rPr>
          <w:sz w:val="24"/>
          <w:u w:val="single"/>
        </w:rPr>
        <w:t>（中标总价）</w:t>
      </w:r>
    </w:p>
    <w:p>
      <w:pPr>
        <w:pStyle w:val="null3"/>
        <w:ind w:firstLine="480"/>
        <w:jc w:val="both"/>
      </w:pPr>
      <w:r>
        <w:rPr>
          <w:sz w:val="24"/>
        </w:rPr>
        <w:t>2.技术服务费由甲方</w:t>
      </w:r>
      <w:r>
        <w:rPr>
          <w:sz w:val="24"/>
          <w:u w:val="single"/>
        </w:rPr>
        <w:t xml:space="preserve">  分三期   </w:t>
      </w:r>
      <w:r>
        <w:rPr>
          <w:sz w:val="24"/>
        </w:rPr>
        <w:t>支付乙方。</w:t>
      </w:r>
    </w:p>
    <w:p>
      <w:pPr>
        <w:pStyle w:val="null3"/>
        <w:ind w:firstLine="480"/>
        <w:jc w:val="both"/>
      </w:pPr>
      <w:r>
        <w:rPr>
          <w:sz w:val="24"/>
        </w:rPr>
        <w:t>具体支付方式和时间如下：</w:t>
      </w:r>
    </w:p>
    <w:p>
      <w:pPr>
        <w:pStyle w:val="null3"/>
        <w:ind w:firstLine="480"/>
        <w:jc w:val="both"/>
      </w:pPr>
      <w:r>
        <w:rPr>
          <w:sz w:val="24"/>
        </w:rPr>
        <w:t>（1）签订合同后，甲方自收到发票后5个工作日内向乙方支付本项目合同总金额的50%，即人民币(大写)：</w:t>
      </w:r>
      <w:r>
        <w:rPr>
          <w:sz w:val="24"/>
          <w:u w:val="single"/>
        </w:rPr>
        <w:t>（中标总价的50%）</w:t>
      </w:r>
      <w:r>
        <w:rPr>
          <w:sz w:val="24"/>
        </w:rPr>
        <w:t>元整；(小写)：￥</w:t>
      </w:r>
      <w:r>
        <w:rPr>
          <w:sz w:val="24"/>
          <w:u w:val="single"/>
        </w:rPr>
        <w:t>（中标总价的50%）</w:t>
      </w:r>
      <w:r>
        <w:rPr>
          <w:sz w:val="24"/>
        </w:rPr>
        <w:t>。</w:t>
      </w:r>
      <w:r>
        <w:rPr>
          <w:sz w:val="24"/>
          <w:u w:val="single"/>
        </w:rPr>
        <w:t>预计在2024年9月30日前支付第一期费用。</w:t>
      </w:r>
    </w:p>
    <w:p>
      <w:pPr>
        <w:pStyle w:val="null3"/>
        <w:ind w:firstLine="480"/>
        <w:jc w:val="both"/>
      </w:pPr>
      <w:r>
        <w:rPr>
          <w:sz w:val="24"/>
        </w:rPr>
        <w:t>（2）乙方完成中期成果并通过审查后，甲方自收到发票后5个工作日向乙方支付本项目合同总金额的30%，即人民币(大写)：</w:t>
      </w:r>
      <w:r>
        <w:rPr>
          <w:sz w:val="24"/>
          <w:u w:val="single"/>
        </w:rPr>
        <w:t>（中标总价的30%）</w:t>
      </w:r>
      <w:r>
        <w:rPr>
          <w:sz w:val="24"/>
        </w:rPr>
        <w:t>元整；(小写)：￥</w:t>
      </w:r>
      <w:r>
        <w:rPr>
          <w:sz w:val="24"/>
          <w:u w:val="single"/>
        </w:rPr>
        <w:t>（中标总价的30%）</w:t>
      </w:r>
      <w:r>
        <w:rPr>
          <w:sz w:val="24"/>
        </w:rPr>
        <w:t>。</w:t>
      </w:r>
      <w:r>
        <w:rPr>
          <w:sz w:val="24"/>
          <w:u w:val="single"/>
        </w:rPr>
        <w:t>预计在2024年10月30日前支付第二期费用。</w:t>
      </w:r>
    </w:p>
    <w:p>
      <w:pPr>
        <w:pStyle w:val="null3"/>
        <w:ind w:firstLine="480"/>
        <w:jc w:val="both"/>
      </w:pPr>
      <w:r>
        <w:rPr>
          <w:sz w:val="24"/>
        </w:rPr>
        <w:t>（3）乙方完成终期成果并通过审查后，甲方自收到发票后5个工作日向乙方支付本项目合同总金额的20%，即人民币(大写)：</w:t>
      </w:r>
      <w:r>
        <w:rPr>
          <w:sz w:val="24"/>
          <w:u w:val="single"/>
        </w:rPr>
        <w:t>（中标总价的20%）</w:t>
      </w:r>
      <w:r>
        <w:rPr>
          <w:sz w:val="24"/>
        </w:rPr>
        <w:t>元整；(小写)：￥</w:t>
      </w:r>
      <w:r>
        <w:rPr>
          <w:sz w:val="24"/>
          <w:u w:val="single"/>
        </w:rPr>
        <w:t>（中标总价的20%）</w:t>
      </w:r>
      <w:r>
        <w:rPr>
          <w:sz w:val="24"/>
        </w:rPr>
        <w:t>。</w:t>
      </w:r>
      <w:r>
        <w:rPr>
          <w:sz w:val="24"/>
          <w:u w:val="single"/>
        </w:rPr>
        <w:t>预计在2024年11月30日前支付第三期费用。</w:t>
      </w:r>
    </w:p>
    <w:p>
      <w:pPr>
        <w:pStyle w:val="null3"/>
        <w:ind w:firstLine="480"/>
        <w:jc w:val="both"/>
      </w:pPr>
      <w:r>
        <w:rPr>
          <w:sz w:val="24"/>
        </w:rPr>
        <w:t>（4）每次按合同支付款项前，乙方应向甲方提供与支付金额相符的有效发票，且收款方、出具发票方、合同乙方均必须与乙方名称一致。</w:t>
      </w:r>
    </w:p>
    <w:p>
      <w:pPr>
        <w:pStyle w:val="null3"/>
        <w:ind w:firstLine="480"/>
        <w:jc w:val="both"/>
      </w:pPr>
      <w:r>
        <w:rPr>
          <w:sz w:val="24"/>
        </w:rPr>
        <w:t>（5）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80"/>
        <w:jc w:val="both"/>
      </w:pPr>
      <w:r>
        <w:rPr>
          <w:sz w:val="24"/>
        </w:rPr>
        <w:t>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 xml:space="preserve">1.保密内容（包括技术信息和经营信息）: </w:t>
      </w:r>
      <w:r>
        <w:rPr>
          <w:sz w:val="24"/>
          <w:u w:val="single"/>
        </w:rPr>
        <w:t>全部研究成果，包括各种因使用本项目经费而获得的资料、研究成果的文本和电子文件；</w:t>
      </w:r>
    </w:p>
    <w:p>
      <w:pPr>
        <w:pStyle w:val="null3"/>
        <w:ind w:firstLine="480"/>
        <w:jc w:val="both"/>
      </w:pPr>
      <w:r>
        <w:rPr>
          <w:sz w:val="24"/>
        </w:rPr>
        <w:t xml:space="preserve">2.涉密人员范围: </w:t>
      </w:r>
      <w:r>
        <w:rPr>
          <w:sz w:val="24"/>
          <w:u w:val="single"/>
        </w:rPr>
        <w:t>参与本项工作的人员；</w:t>
      </w:r>
    </w:p>
    <w:p>
      <w:pPr>
        <w:pStyle w:val="null3"/>
        <w:ind w:firstLine="480"/>
        <w:jc w:val="both"/>
      </w:pPr>
      <w:r>
        <w:rPr>
          <w:sz w:val="24"/>
        </w:rPr>
        <w:t>3.保密期限：</w:t>
      </w:r>
      <w:r>
        <w:rPr>
          <w:sz w:val="24"/>
          <w:u w:val="single"/>
        </w:rPr>
        <w:t>按相关法律规定执行；</w:t>
      </w:r>
    </w:p>
    <w:p>
      <w:pPr>
        <w:pStyle w:val="null3"/>
        <w:ind w:firstLine="480"/>
        <w:jc w:val="both"/>
      </w:pPr>
      <w:r>
        <w:rPr>
          <w:sz w:val="24"/>
        </w:rPr>
        <w:t>4.泄密责任：</w:t>
      </w:r>
      <w:r>
        <w:rPr>
          <w:sz w:val="24"/>
          <w:u w:val="single"/>
        </w:rPr>
        <w:t>按照法律规定承担有关责任。</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0"/>
        <w:jc w:val="both"/>
      </w:pPr>
      <w:r>
        <w:rPr>
          <w:sz w:val="24"/>
        </w:rPr>
        <w:t>2.</w:t>
      </w:r>
      <w:r>
        <w:rPr>
          <w:sz w:val="24"/>
          <w:u w:val="single"/>
        </w:rPr>
        <w:t>项目建议书变更</w:t>
      </w:r>
    </w:p>
    <w:p>
      <w:pPr>
        <w:pStyle w:val="null3"/>
        <w:ind w:firstLine="482"/>
        <w:jc w:val="both"/>
      </w:pPr>
      <w:r>
        <w:rPr>
          <w:sz w:val="24"/>
          <w:b/>
        </w:rPr>
        <w:t>第七条：</w:t>
      </w:r>
      <w:r>
        <w:rPr>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乙方完成技术服务工作形式：各阶段方案的上报成果、正式成果（纸质成果和电子成果）等（详见本项目《附表一：广州乡村风景道专项总体规划和建设技术指引》）</w:t>
      </w:r>
      <w:r>
        <w:rPr>
          <w:sz w:val="24"/>
        </w:rPr>
        <w:t>。</w:t>
      </w:r>
    </w:p>
    <w:p>
      <w:pPr>
        <w:pStyle w:val="null3"/>
        <w:ind w:firstLine="480"/>
        <w:jc w:val="both"/>
      </w:pPr>
      <w:r>
        <w:rPr>
          <w:sz w:val="24"/>
        </w:rPr>
        <w:t>2.技术服务工作成果的验收标准：</w:t>
      </w:r>
      <w:r>
        <w:rPr>
          <w:sz w:val="24"/>
          <w:u w:val="single"/>
        </w:rPr>
        <w:t>符合本项目《附表一：广州乡村风景道专项总体规划和建设技术指引》要求</w:t>
      </w:r>
      <w:r>
        <w:rPr>
          <w:sz w:val="24"/>
        </w:rPr>
        <w:t>。</w:t>
      </w:r>
    </w:p>
    <w:p>
      <w:pPr>
        <w:pStyle w:val="null3"/>
        <w:ind w:firstLine="480"/>
        <w:jc w:val="both"/>
      </w:pPr>
      <w:r>
        <w:rPr>
          <w:sz w:val="24"/>
        </w:rPr>
        <w:t>3.技术服务工作成果的验收方法：</w:t>
      </w:r>
      <w:r>
        <w:rPr>
          <w:sz w:val="24"/>
          <w:u w:val="single"/>
        </w:rPr>
        <w:t>成果以甲方审查通过为验收依据</w:t>
      </w:r>
      <w:r>
        <w:rPr>
          <w:sz w:val="24"/>
        </w:rPr>
        <w:t>。</w:t>
      </w:r>
    </w:p>
    <w:p>
      <w:pPr>
        <w:pStyle w:val="null3"/>
        <w:ind w:firstLine="480"/>
        <w:jc w:val="both"/>
      </w:pPr>
      <w:r>
        <w:rPr>
          <w:sz w:val="24"/>
        </w:rPr>
        <w:t>4.验收的时间和地点：</w:t>
      </w:r>
      <w:r>
        <w:rPr>
          <w:sz w:val="24"/>
          <w:u w:val="single"/>
        </w:rPr>
        <w:t>根据甲方要求</w:t>
      </w:r>
      <w:r>
        <w:rPr>
          <w:sz w:val="24"/>
        </w:rPr>
        <w:t>。</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rPr>
        <w:t>1.因甲方原因，甲方未能按时提供乙方所需的基础资料和信息，以至使乙方难以按期完成各阶段工作任务，后果由甲方承担，乙方可将完成工作任务时间顺延。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rPr>
        <w:t>2.因甲方原因，甲方未能在合同规定的时间内向乙方支付合同款，每逾期一天，甲方向乙方支付预期未付金额的1%的违约金，支付违约金总金额不超合同总金额的10%。</w:t>
      </w:r>
    </w:p>
    <w:p>
      <w:pPr>
        <w:pStyle w:val="null3"/>
        <w:ind w:firstLine="480"/>
        <w:jc w:val="both"/>
      </w:pPr>
      <w:r>
        <w:rPr>
          <w:sz w:val="24"/>
        </w:rPr>
        <w:t>3.因乙方原因，未能在合同规定时间内向甲方交付项目成果，每逾期一天，乙方向甲方支付合同总费用1‰的违约金,支付违约金总金额不超项目总金额的10%。乙方逾期超过30天的，甲方有权解除本合同，乙方应在合同解除后5天内返还已收取的全部款项，并向甲方支付不超过合同总金额的10%的违约金。</w:t>
      </w:r>
    </w:p>
    <w:p>
      <w:pPr>
        <w:pStyle w:val="null3"/>
        <w:ind w:firstLine="480"/>
        <w:jc w:val="both"/>
      </w:pPr>
      <w:r>
        <w:rPr>
          <w:sz w:val="24"/>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80"/>
        <w:jc w:val="both"/>
      </w:pPr>
      <w:r>
        <w:rPr>
          <w:sz w:val="24"/>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2"/>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80"/>
        <w:jc w:val="both"/>
      </w:pPr>
      <w:r>
        <w:rPr>
          <w:sz w:val="24"/>
        </w:rPr>
        <w:t>1.</w:t>
      </w:r>
      <w:r>
        <w:rPr>
          <w:sz w:val="24"/>
          <w:u w:val="single"/>
        </w:rPr>
        <w:t>项目编制过程中的沟通、协调工作；</w:t>
      </w:r>
    </w:p>
    <w:p>
      <w:pPr>
        <w:pStyle w:val="null3"/>
        <w:ind w:firstLine="480"/>
        <w:jc w:val="both"/>
      </w:pPr>
      <w:r>
        <w:rPr>
          <w:sz w:val="24"/>
        </w:rPr>
        <w:t>2.</w:t>
      </w:r>
      <w:r>
        <w:rPr>
          <w:sz w:val="24"/>
          <w:u w:val="single"/>
        </w:rPr>
        <w:t>项目成果的报审、报批工作；</w:t>
      </w:r>
    </w:p>
    <w:p>
      <w:pPr>
        <w:pStyle w:val="null3"/>
        <w:ind w:firstLine="480"/>
        <w:jc w:val="both"/>
      </w:pPr>
      <w:r>
        <w:rPr>
          <w:sz w:val="24"/>
        </w:rPr>
        <w:t>3.</w:t>
      </w:r>
      <w:r>
        <w:rPr>
          <w:sz w:val="24"/>
          <w:u w:val="single"/>
        </w:rPr>
        <w:t>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发生不可抗力；</w:t>
      </w:r>
    </w:p>
    <w:p>
      <w:pPr>
        <w:pStyle w:val="null3"/>
        <w:ind w:firstLine="480"/>
        <w:jc w:val="both"/>
      </w:pPr>
      <w:r>
        <w:rPr>
          <w:sz w:val="24"/>
        </w:rPr>
        <w:t>2.</w:t>
      </w:r>
      <w:r>
        <w:rPr>
          <w:sz w:val="24"/>
          <w:u w:val="single"/>
        </w:rPr>
        <w:t>履行期限满前，一方明确表示或者以自己的行为表明不履行合同的；</w:t>
      </w:r>
    </w:p>
    <w:p>
      <w:pPr>
        <w:pStyle w:val="null3"/>
        <w:ind w:firstLine="480"/>
        <w:jc w:val="both"/>
      </w:pPr>
      <w:r>
        <w:rPr>
          <w:sz w:val="24"/>
        </w:rPr>
        <w:t>3.</w:t>
      </w:r>
      <w:r>
        <w:rPr>
          <w:sz w:val="24"/>
          <w:u w:val="single"/>
        </w:rPr>
        <w:t>一方延迟履行合同，经催告后在合理期限内仍未履行合同的；</w:t>
      </w:r>
    </w:p>
    <w:p>
      <w:pPr>
        <w:pStyle w:val="null3"/>
        <w:ind w:firstLine="480"/>
        <w:jc w:val="both"/>
      </w:pPr>
      <w:r>
        <w:rPr>
          <w:sz w:val="24"/>
        </w:rPr>
        <w:t>4.</w:t>
      </w:r>
      <w:r>
        <w:rPr>
          <w:sz w:val="24"/>
          <w:u w:val="single"/>
        </w:rPr>
        <w:t>一方迟延履行或者有其它违约行为致使不能实现合同目的的。</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：双方约定本合同其他相关事项为：</w:t>
      </w:r>
    </w:p>
    <w:p>
      <w:pPr>
        <w:pStyle w:val="null3"/>
        <w:ind w:firstLine="480"/>
        <w:jc w:val="both"/>
      </w:pPr>
      <w:r>
        <w:rPr>
          <w:sz w:val="24"/>
        </w:rPr>
        <w:t>1.本合同未尽事宜，双方应本着友好合作的原则，另行商议并写入补充条款。所有修改或补充条款都视为本合同的组成部分，具有与其它条款同等的法律效力。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rPr>
        <w:t>2.因甲方原因，甲方未能按时提供乙方所需的基础资料和信息，以至使乙方难以按期完成各阶段工作任务，后果由甲方承担，乙方可将完成工作任务时间顺延。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rPr>
        <w:t>3.乙方不得对项目进行分包、转包。</w:t>
      </w:r>
    </w:p>
    <w:p>
      <w:pPr>
        <w:pStyle w:val="null3"/>
        <w:ind w:firstLine="482"/>
        <w:jc w:val="both"/>
      </w:pPr>
      <w:r>
        <w:rPr>
          <w:sz w:val="24"/>
          <w:b/>
        </w:rPr>
        <w:t>第十五条</w:t>
      </w:r>
      <w:r>
        <w:rPr>
          <w:sz w:val="24"/>
        </w:rPr>
        <w:t>：本合同一式</w:t>
      </w:r>
      <w:r>
        <w:rPr>
          <w:sz w:val="24"/>
          <w:u w:val="single"/>
        </w:rPr>
        <w:t xml:space="preserve">      </w:t>
      </w:r>
      <w:r>
        <w:rPr>
          <w:sz w:val="24"/>
        </w:rPr>
        <w:t>份，甲乙双方各执</w:t>
      </w:r>
      <w:r>
        <w:rPr>
          <w:sz w:val="24"/>
          <w:u w:val="single"/>
        </w:rPr>
        <w:t xml:space="preserve">      </w:t>
      </w:r>
      <w:r>
        <w:rPr>
          <w:sz w:val="24"/>
        </w:rPr>
        <w:t>份，采购代理机构壹份，具有同等法律效力。</w:t>
      </w:r>
    </w:p>
    <w:p>
      <w:pPr>
        <w:pStyle w:val="null3"/>
        <w:ind w:firstLine="482"/>
        <w:jc w:val="both"/>
      </w:pPr>
      <w:r>
        <w:rPr>
          <w:sz w:val="24"/>
          <w:b/>
        </w:rPr>
        <w:t>第十六条</w:t>
      </w:r>
      <w:r>
        <w:rPr>
          <w:sz w:val="24"/>
        </w:rPr>
        <w:t>：本合同经双方签字盖章后生效。</w:t>
      </w:r>
    </w:p>
    <w:p>
      <w:pPr>
        <w:pStyle w:val="null3"/>
        <w:ind w:firstLine="482"/>
        <w:jc w:val="both"/>
      </w:pPr>
      <w:r>
        <w:rPr/>
        <w:t xml:space="preserve"> </w:t>
      </w:r>
    </w:p>
    <w:p>
      <w:pPr>
        <w:pStyle w:val="null3"/>
        <w:ind w:firstLine="482"/>
        <w:jc w:val="both"/>
      </w:pPr>
      <w:r>
        <w:rPr/>
        <w:t xml:space="preserve"> </w:t>
      </w:r>
    </w:p>
    <w:p>
      <w:pPr>
        <w:pStyle w:val="null3"/>
        <w:jc w:val="both"/>
      </w:pPr>
      <w:r>
        <w:rPr>
          <w:sz w:val="24"/>
        </w:rPr>
        <w:t>甲方：</w:t>
      </w:r>
      <w:r>
        <w:rPr>
          <w:sz w:val="24"/>
          <w:u w:val="single"/>
        </w:rPr>
        <w:t>广州市规划和自然资源局（盖章）</w:t>
      </w:r>
    </w:p>
    <w:p>
      <w:pPr>
        <w:pStyle w:val="null3"/>
        <w:jc w:val="both"/>
      </w:pPr>
      <w:r>
        <w:rPr>
          <w:sz w:val="24"/>
        </w:rPr>
        <w:t>法定代表人／委托代理人：</w:t>
      </w:r>
      <w:r>
        <w:rPr>
          <w:sz w:val="24"/>
          <w:u w:val="single"/>
        </w:rPr>
        <w:t>　　　　　　　　（签名）</w:t>
      </w:r>
      <w:r>
        <w:rPr>
          <w:sz w:val="24"/>
        </w:rPr>
        <w:t>　</w:t>
      </w:r>
    </w:p>
    <w:p>
      <w:pPr>
        <w:pStyle w:val="null3"/>
        <w:jc w:val="both"/>
      </w:pPr>
      <w:r>
        <w:rPr>
          <w:sz w:val="24"/>
        </w:rPr>
        <w:t xml:space="preserve">     年     月     日</w:t>
      </w:r>
    </w:p>
    <w:p>
      <w:pPr>
        <w:pStyle w:val="null3"/>
        <w:jc w:val="both"/>
      </w:pPr>
      <w:r>
        <w:rPr/>
        <w:t xml:space="preserve"> </w:t>
      </w:r>
    </w:p>
    <w:p>
      <w:pPr>
        <w:pStyle w:val="null3"/>
        <w:jc w:val="both"/>
      </w:pPr>
      <w:r>
        <w:rPr>
          <w:sz w:val="24"/>
        </w:rPr>
        <w:t>乙方：</w:t>
      </w:r>
      <w:r>
        <w:rPr>
          <w:sz w:val="24"/>
          <w:u w:val="single"/>
        </w:rPr>
        <w:t>（盖章）</w:t>
      </w:r>
    </w:p>
    <w:p>
      <w:pPr>
        <w:pStyle w:val="null3"/>
        <w:jc w:val="both"/>
      </w:pPr>
      <w:r>
        <w:rPr>
          <w:sz w:val="24"/>
        </w:rPr>
        <w:t>法定代表人／委托代理人：</w:t>
      </w:r>
      <w:r>
        <w:rPr>
          <w:sz w:val="24"/>
          <w:u w:val="single"/>
        </w:rPr>
        <w:t>　　　　　　　　（签名）</w:t>
      </w:r>
    </w:p>
    <w:p>
      <w:pPr>
        <w:pStyle w:val="null3"/>
        <w:jc w:val="both"/>
      </w:pPr>
      <w:r>
        <w:rPr>
          <w:sz w:val="24"/>
        </w:rPr>
        <w:t xml:space="preserve">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4"/>
        </w:rPr>
        <w:t>印花</w:t>
      </w:r>
      <w:r>
        <w:rPr>
          <w:sz w:val="24"/>
        </w:rPr>
        <w:t>税票粘贴处：</w:t>
      </w:r>
    </w:p>
    <w:p>
      <w:pPr>
        <w:pStyle w:val="null3"/>
        <w:jc w:val="both"/>
      </w:pPr>
      <w:r>
        <w:rPr>
          <w:sz w:val="24"/>
        </w:rPr>
        <w:t>（以下由技术合同登记机构填写）</w:t>
      </w:r>
    </w:p>
    <w:p>
      <w:pPr>
        <w:pStyle w:val="null3"/>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86"/>
        <w:gridCol w:w="503"/>
        <w:gridCol w:w="503"/>
        <w:gridCol w:w="486"/>
        <w:gridCol w:w="486"/>
        <w:gridCol w:w="486"/>
        <w:gridCol w:w="468"/>
        <w:gridCol w:w="520"/>
        <w:gridCol w:w="520"/>
        <w:gridCol w:w="486"/>
        <w:gridCol w:w="486"/>
        <w:gridCol w:w="486"/>
        <w:gridCol w:w="468"/>
        <w:gridCol w:w="503"/>
        <w:gridCol w:w="503"/>
        <w:gridCol w:w="503"/>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1．申请登记人：</w:t>
      </w:r>
    </w:p>
    <w:p>
      <w:pPr>
        <w:pStyle w:val="null3"/>
        <w:ind w:firstLine="425"/>
        <w:jc w:val="both"/>
      </w:pPr>
      <w:r>
        <w:rPr>
          <w:sz w:val="24"/>
        </w:rPr>
        <w:t>2．登记材料：（1）</w:t>
      </w:r>
    </w:p>
    <w:p>
      <w:pPr>
        <w:pStyle w:val="null3"/>
        <w:ind w:firstLine="425"/>
        <w:jc w:val="both"/>
      </w:pPr>
      <w:r>
        <w:rPr>
          <w:sz w:val="24"/>
        </w:rPr>
        <w:t>（2）</w:t>
      </w:r>
    </w:p>
    <w:p>
      <w:pPr>
        <w:pStyle w:val="null3"/>
        <w:ind w:firstLine="425"/>
        <w:jc w:val="both"/>
      </w:pPr>
      <w:r>
        <w:rPr>
          <w:sz w:val="24"/>
        </w:rPr>
        <w:t>（3）</w:t>
      </w:r>
    </w:p>
    <w:p>
      <w:pPr>
        <w:pStyle w:val="null3"/>
        <w:ind w:firstLine="425"/>
        <w:jc w:val="both"/>
      </w:pPr>
      <w:r>
        <w:rPr>
          <w:sz w:val="24"/>
        </w:rPr>
        <w:t>3．合同类型：</w:t>
      </w:r>
    </w:p>
    <w:p>
      <w:pPr>
        <w:pStyle w:val="null3"/>
        <w:ind w:firstLine="425"/>
        <w:jc w:val="both"/>
      </w:pPr>
      <w:r>
        <w:rPr>
          <w:sz w:val="24"/>
        </w:rPr>
        <w:t>4．合同交易额：</w:t>
      </w:r>
    </w:p>
    <w:p>
      <w:pPr>
        <w:pStyle w:val="null3"/>
        <w:ind w:firstLine="425"/>
        <w:jc w:val="both"/>
      </w:pPr>
      <w:r>
        <w:rPr>
          <w:sz w:val="24"/>
        </w:rPr>
        <w:t>5．技术交易额：</w:t>
      </w:r>
    </w:p>
    <w:p>
      <w:pPr>
        <w:pStyle w:val="null3"/>
        <w:ind w:firstLine="425"/>
        <w:jc w:val="both"/>
      </w:pPr>
      <w:r>
        <w:rPr/>
        <w:t xml:space="preserve"> </w:t>
      </w:r>
    </w:p>
    <w:p>
      <w:pPr>
        <w:pStyle w:val="null3"/>
        <w:ind w:firstLine="425"/>
        <w:jc w:val="right"/>
      </w:pPr>
      <w:r>
        <w:rPr/>
        <w:t xml:space="preserve"> </w:t>
      </w:r>
    </w:p>
    <w:p>
      <w:pPr>
        <w:pStyle w:val="null3"/>
        <w:ind w:firstLine="425"/>
        <w:jc w:val="right"/>
      </w:pPr>
      <w:r>
        <w:rPr>
          <w:sz w:val="24"/>
        </w:rPr>
        <w:t xml:space="preserve">技术合同登记机构（印章）     </w:t>
      </w:r>
    </w:p>
    <w:p>
      <w:pPr>
        <w:pStyle w:val="null3"/>
        <w:ind w:firstLine="425"/>
        <w:jc w:val="right"/>
      </w:pPr>
      <w:r>
        <w:rPr>
          <w:sz w:val="24"/>
        </w:rPr>
        <w:t xml:space="preserve">经办人：     </w:t>
      </w:r>
    </w:p>
    <w:p>
      <w:pPr>
        <w:pStyle w:val="null3"/>
        <w:ind w:firstLine="425"/>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440101-2024-16290</w:t>
      </w:r>
    </w:p>
    <w:p>
      <w:pPr>
        <w:pStyle w:val="null3"/>
        <w:jc w:val="center"/>
        <w:outlineLvl w:val="3"/>
      </w:pPr>
      <w:r>
        <w:rPr>
          <w:sz w:val="24"/>
          <w:b/>
        </w:rPr>
        <w:t>采购项目编号：</w:t>
      </w:r>
      <w:r>
        <w:rPr>
          <w:sz w:val="24"/>
          <w:b/>
        </w:rPr>
        <w:t>GZCQC2400FG07013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城维计划-综合交通规划编制经费（子项14：广州乡村风景道专项总体规划和建设技术指引）</w:t>
      </w:r>
      <w:r>
        <w:rPr>
          <w:u w:val="single"/>
        </w:rPr>
        <w:t>”</w:t>
      </w:r>
      <w:r>
        <w:rPr/>
        <w:t>项目的招标[采购项目编号为：</w:t>
      </w:r>
      <w:r>
        <w:rPr>
          <w:u w:val="single"/>
        </w:rPr>
        <w:t>GZCQC2400FG07013</w:t>
      </w:r>
      <w:r>
        <w:rPr/>
        <w:t>]，我方愿参与投标。</w:t>
      </w:r>
    </w:p>
    <w:p>
      <w:pPr>
        <w:pStyle w:val="null3"/>
        <w:ind w:firstLine="480"/>
      </w:pPr>
      <w:r>
        <w:rPr/>
        <w:t>我方确认收到贵方提供的</w:t>
      </w:r>
      <w:r>
        <w:rPr>
          <w:u w:val="single"/>
        </w:rPr>
        <w:t>“</w:t>
      </w:r>
      <w:r>
        <w:rPr>
          <w:u w:val="single"/>
        </w:rPr>
        <w:t>城维计划-综合交通规划编制经费（子项14：广州乡村风景道专项总体规划和建设技术指引）</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城维计划-综合交通规划编制经费（子项14：广州乡村风景道专项总体规划和建设技术指引）</w:t>
      </w:r>
      <w:r>
        <w:rPr/>
        <w:t>”项目采购[采购项目编号为</w:t>
      </w:r>
      <w:r>
        <w:rPr/>
        <w:t>GZCQC2400FG07013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城维计划-综合交通规划编制经费（子项14：广州乡村风景道专项总体规划和建设技术指引）</w:t>
      </w:r>
      <w:r>
        <w:rPr/>
        <w:t>招标中获中标（采购项目编号：</w:t>
      </w:r>
      <w:r>
        <w:rPr/>
        <w:t>GZCQC2400FG07013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