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440114-2024-01671</w:t>
      </w:r>
    </w:p>
    <w:p>
      <w:pPr>
        <w:pStyle w:val="null3"/>
        <w:jc w:val="center"/>
        <w:outlineLvl w:val="3"/>
      </w:pPr>
      <w:r>
        <w:rPr>
          <w:sz w:val="24"/>
          <w:b/>
        </w:rPr>
        <w:t>采购项目编号：</w:t>
      </w:r>
      <w:r>
        <w:rPr>
          <w:sz w:val="24"/>
          <w:b/>
        </w:rPr>
        <w:t>GZCQC2401FG04018</w:t>
      </w:r>
    </w:p>
    <w:p>
      <w:pPr>
        <w:pStyle w:val="null3"/>
        <w:jc w:val="center"/>
        <w:outlineLvl w:val="3"/>
      </w:pPr>
      <w:r>
        <w:rPr>
          <w:sz w:val="24"/>
          <w:b/>
        </w:rPr>
        <w:t>项目名称：</w:t>
      </w:r>
      <w:r>
        <w:rPr>
          <w:sz w:val="24"/>
          <w:b/>
        </w:rPr>
        <w:t>花城街道办事处综合事务社会化服务项目</w:t>
      </w:r>
    </w:p>
    <w:p>
      <w:pPr>
        <w:pStyle w:val="null3"/>
        <w:jc w:val="center"/>
        <w:outlineLvl w:val="3"/>
      </w:pPr>
      <w:r>
        <w:rPr>
          <w:sz w:val="24"/>
          <w:b/>
        </w:rPr>
        <w:t>采购人：</w:t>
      </w:r>
      <w:r>
        <w:rPr>
          <w:sz w:val="24"/>
          <w:b/>
        </w:rPr>
        <w:t>广州市花都区人民政府花城街道办事处</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广州市花都区人民政府花城街道办事处</w:t>
      </w:r>
      <w:r>
        <w:rPr/>
        <w:t>的委托，采用</w:t>
      </w:r>
      <w:r>
        <w:rPr/>
        <w:t>公开招标</w:t>
      </w:r>
      <w:r>
        <w:rPr/>
        <w:t>方式组织采购</w:t>
      </w:r>
      <w:r>
        <w:rPr/>
        <w:t>花城街道办事处综合事务社会化服务项目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花城街道办事处综合事务社会化服务项目</w:t>
      </w:r>
    </w:p>
    <w:p>
      <w:pPr>
        <w:pStyle w:val="null3"/>
        <w:ind w:firstLine="480"/>
      </w:pPr>
      <w:r>
        <w:rPr/>
        <w:t>采购计划编号：</w:t>
      </w:r>
      <w:r>
        <w:rPr/>
        <w:t>440114-2024-01671</w:t>
      </w:r>
    </w:p>
    <w:p>
      <w:pPr>
        <w:pStyle w:val="null3"/>
        <w:ind w:firstLine="480"/>
      </w:pPr>
      <w:r>
        <w:rPr/>
        <w:t>采购项目编号：</w:t>
      </w:r>
      <w:r>
        <w:rPr/>
        <w:t>GZCQC2401FG04018</w:t>
      </w:r>
    </w:p>
    <w:p>
      <w:pPr>
        <w:pStyle w:val="null3"/>
        <w:ind w:firstLine="480"/>
      </w:pPr>
      <w:r>
        <w:rPr/>
        <w:t>采购方式：</w:t>
      </w:r>
      <w:r>
        <w:rPr/>
        <w:t>公开招标</w:t>
      </w:r>
    </w:p>
    <w:p>
      <w:pPr>
        <w:pStyle w:val="null3"/>
        <w:ind w:firstLine="480"/>
      </w:pPr>
      <w:r>
        <w:rPr/>
        <w:t>预算金额：</w:t>
      </w:r>
      <w:r>
        <w:rPr/>
        <w:t>4,510,000.00</w:t>
      </w:r>
      <w:r>
        <w:rPr/>
        <w:t>元</w:t>
      </w:r>
    </w:p>
    <w:p>
      <w:pPr>
        <w:pStyle w:val="null3"/>
        <w:outlineLvl w:val="3"/>
      </w:pPr>
      <w:r>
        <w:rPr>
          <w:sz w:val="24"/>
          <w:b/>
        </w:rPr>
        <w:t>2.项目内容及需求情况（采购项目技术规格、参数及要求）</w:t>
      </w:r>
    </w:p>
    <w:p>
      <w:pPr>
        <w:pStyle w:val="null3"/>
      </w:pPr>
      <w:r>
        <w:rPr/>
        <w:t>采购包1(花城街道办事处综合事务社会化服务项目):</w:t>
      </w:r>
    </w:p>
    <w:p>
      <w:pPr>
        <w:pStyle w:val="null3"/>
      </w:pPr>
      <w:r>
        <w:rPr/>
        <w:t>采购包预算金额：4,510,000.00元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花城街道办事处综合事务社会化服务项目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采购包1（花城街道办事处综合事务社会化服务项目）：</w:t>
      </w: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采购包1（花城街道办事处综合事务社会化服务项目）：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广州市花都区人民政府花城街道办事处</w:t>
      </w:r>
    </w:p>
    <w:p>
      <w:pPr>
        <w:pStyle w:val="null3"/>
        <w:ind w:firstLine="480"/>
      </w:pPr>
      <w:r>
        <w:rPr/>
        <w:t xml:space="preserve"> 地址：</w:t>
      </w:r>
      <w:r>
        <w:rPr/>
        <w:t>广州市花都区紫薇路50号</w:t>
      </w:r>
    </w:p>
    <w:p>
      <w:pPr>
        <w:pStyle w:val="null3"/>
        <w:ind w:firstLine="480"/>
      </w:pPr>
      <w:r>
        <w:rPr/>
        <w:t xml:space="preserve"> 联系方式：</w:t>
      </w:r>
      <w:r>
        <w:rPr/>
        <w:t>020-86962786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花城街道办事处综合事务社会化服务项目，现采用公开招标的方式确定一家中标人，由中标人按照采购人要求派出专职人员完成花城街道办事处下派的相关综合事务工作，包括但不限于机关行政及一般性辅助工作、内勤收发工作、接待群众来访及业务咨询等，本项目预算金额为人民币4,510,000.00元。</w:t>
      </w:r>
    </w:p>
    <w:p>
      <w:pPr>
        <w:pStyle w:val="null3"/>
      </w:pPr>
      <w:r>
        <w:rPr/>
        <w:t>采购包1（花城街道办事处综合事务社会化服务项目）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合同签订生效之日起12个月。</w:t>
            </w:r>
          </w:p>
        </w:tc>
      </w:tr>
      <w:tr>
        <w:tc>
          <w:tcPr>
            <w:tcW w:type="dxa" w:w="4153"/>
          </w:tcPr>
          <w:p>
            <w:pPr>
              <w:pStyle w:val="null3"/>
            </w:pPr>
            <w:r>
              <w:rPr/>
              <w:t>标的提供的地点</w:t>
            </w:r>
          </w:p>
        </w:tc>
        <w:tc>
          <w:tcPr>
            <w:tcW w:type="dxa" w:w="4153"/>
          </w:tcPr>
          <w:p>
            <w:pPr>
              <w:pStyle w:val="null3"/>
            </w:pPr>
            <w:r>
              <w:rPr/>
              <w:t>本项目位于广州市花都区紫薇路50号；广州市花都区三东大道14号；广州市花都区葱兰街5号。</w:t>
            </w:r>
          </w:p>
        </w:tc>
      </w:tr>
      <w:tr>
        <w:tc>
          <w:tcPr>
            <w:tcW w:type="dxa" w:w="4153"/>
          </w:tcPr>
          <w:p>
            <w:pPr>
              <w:pStyle w:val="null3"/>
            </w:pPr>
            <w:r>
              <w:rPr/>
              <w:t>付款方式</w:t>
            </w:r>
          </w:p>
        </w:tc>
        <w:tc>
          <w:tcPr>
            <w:tcW w:type="dxa" w:w="4153"/>
          </w:tcPr>
          <w:p>
            <w:pPr>
              <w:pStyle w:val="null3"/>
            </w:pPr>
            <w:r>
              <w:rPr/>
              <w:t>1期：支付比例100%,(一)服务费按月计算，中标人每月5号前交上月发票，采购人于每月15日前 (如遇节假日顺延至第一个工作日) 为中标人办理上月服务费支付手续，中标人提供服务不足一个月时按日计算，最终支付比例需根据每月的考核标准情况进行确认。 (二)本项目分月安排预算，首月预付款比例不低于项目年度计划支付资金金额的30% 。预付款应在合同签订生效以及具备实施条件后5个工作日内支付，预付款应在每月服务费中予以抵扣。 (三)中标人凭以下有效文件与采购人结算： (1)合同； (2)中标人开具的正式发票； (3)中标通知书。 (四)因采购人使用的是财政资金，采购人在前款规定的付款时间为向政府采购支付部门提出办理财政支付申请手续的时间 (不含政府财政支付部门审核的时间) ，在规定时间内提出支付申请手续后即视为采购人已经按期支付。</w:t>
            </w:r>
          </w:p>
        </w:tc>
      </w:tr>
      <w:tr>
        <w:tc>
          <w:tcPr>
            <w:tcW w:type="dxa" w:w="4153"/>
          </w:tcPr>
          <w:p>
            <w:pPr>
              <w:pStyle w:val="null3"/>
            </w:pPr>
            <w:r>
              <w:rPr/>
              <w:t>验收要求</w:t>
            </w:r>
          </w:p>
        </w:tc>
        <w:tc>
          <w:tcPr>
            <w:tcW w:type="dxa" w:w="4153"/>
          </w:tcPr>
          <w:p>
            <w:pPr>
              <w:pStyle w:val="null3"/>
            </w:pPr>
            <w:r>
              <w:rPr/>
              <w:t>1期：由采购人组织验收，以双方签定的合同、招标文件及投标文件为标准，对中标人履约情况进行验收。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1，未经采购人同意，不允许中标人分包或转包采购人服务管理事宜。</w:t>
            </w:r>
          </w:p>
          <w:p>
            <w:pPr>
              <w:pStyle w:val="null3"/>
            </w:pPr>
            <w:r>
              <w:rPr/>
              <w:t>2，本合同终止时，中标人必须向采购人移交全部管理、全部档案资料。</w:t>
            </w:r>
          </w:p>
          <w:p>
            <w:pPr>
              <w:pStyle w:val="null3"/>
            </w:pPr>
            <w:r>
              <w:rPr/>
              <w:t>3，采购人与派驻服务人员不发生任何劳动和雇佣关系，派驻服务人员由中标人自行管理。</w:t>
            </w:r>
          </w:p>
          <w:p>
            <w:pPr>
              <w:pStyle w:val="null3"/>
            </w:pPr>
            <w:r>
              <w:rPr/>
              <w:t>4，采购人对岗位设置、人员选用与日常管理具有监督权和协调权，对工作效率低、责任心不强、违反劳动纪律等不符合工作要求的工作人员，采购人有权要求更换。</w:t>
            </w:r>
          </w:p>
          <w:p>
            <w:pPr>
              <w:pStyle w:val="null3"/>
            </w:pPr>
            <w:r>
              <w:rPr/>
              <w:t>5，中标人应按广州市劳动用工相关标准执行支付人员工资；按照《中华人民共和国社会保险法》和《住房公积金管理条例》的相关规定，支付国家规定必须购买的社会保险费用（基本养老保险、基本医疗保险、工伤保险、失业保险、生育保险）和缴存住房公积金；如因用工引起的劳动纠纷问题由中标人负责解决。</w:t>
            </w:r>
          </w:p>
          <w:p>
            <w:pPr>
              <w:pStyle w:val="null3"/>
            </w:pPr>
            <w:r>
              <w:rPr/>
              <w:t>6，服务期内中标人必须按承诺的实际人员投入本项目。</w:t>
            </w:r>
          </w:p>
          <w:p>
            <w:pPr>
              <w:pStyle w:val="null3"/>
            </w:pPr>
            <w:r>
              <w:rPr/>
              <w:t>7，合同期满或因中标人原因，采购人提前解除合同的，中标人必须按采购人的要求按时撒离，并做好服务事项交接和相关资料的移交工作。</w:t>
            </w:r>
          </w:p>
          <w:p>
            <w:pPr>
              <w:pStyle w:val="null3"/>
            </w:pPr>
            <w:r>
              <w:rPr/>
              <w:t>8，一般情况下，中标人应在接到采购人电话通知后1小时内响应，2小时到达现场处理相关工作事宜，在紧急情况下，需保证中标人人员能在30分钟内到达采购人现场，并提供应急保障方案包括：①临时突击性工作、②突发事件应急保障措施、③人员补给、调配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花城街道办事处综合事务社会化服务项目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4,510,000.00</w:t>
            </w:r>
          </w:p>
        </w:tc>
        <w:tc>
          <w:tcPr>
            <w:tcW w:type="dxa" w:w="933"/>
          </w:tcPr>
          <w:p>
            <w:pPr>
              <w:pStyle w:val="null3"/>
              <w:jc w:val="right"/>
            </w:pPr>
            <w:r>
              <w:rPr/>
              <w:t>4,510,000.00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花城街道办事处综合事务社会化服务项目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color w:val="000000"/>
              </w:rPr>
              <w:t>一、服务总体要求</w:t>
            </w:r>
          </w:p>
          <w:p>
            <w:pPr>
              <w:pStyle w:val="null3"/>
              <w:ind w:firstLine="482"/>
              <w:jc w:val="left"/>
            </w:pPr>
            <w:r>
              <w:rPr>
                <w:sz w:val="24"/>
                <w:color w:val="000000"/>
              </w:rPr>
              <w:t>(</w:t>
            </w:r>
            <w:r>
              <w:rPr>
                <w:sz w:val="24"/>
                <w:color w:val="000000"/>
              </w:rPr>
              <w:t>一)采购人的办公场所对安全性、保密性、规范性要求严格，对服务要求高质量、高标准。要求中标人所配备服务人员具有严格的保密意识。</w:t>
            </w:r>
          </w:p>
        </w:tc>
      </w:tr>
      <w:tr>
        <w:tc>
          <w:tcPr>
            <w:tcW w:type="dxa" w:w="2076"/>
          </w:tcPr>
          <w:p/>
        </w:tc>
        <w:tc>
          <w:tcPr>
            <w:tcW w:type="dxa" w:w="415"/>
          </w:tcPr>
          <w:p>
            <w:pPr>
              <w:pStyle w:val="null3"/>
            </w:pPr>
            <w:r>
              <w:rPr/>
              <w:t>2</w:t>
            </w:r>
          </w:p>
        </w:tc>
        <w:tc>
          <w:tcPr>
            <w:tcW w:type="dxa" w:w="5814"/>
          </w:tcPr>
          <w:p>
            <w:pPr>
              <w:pStyle w:val="null3"/>
              <w:ind w:firstLine="482"/>
              <w:jc w:val="left"/>
            </w:pPr>
            <w:r>
              <w:rPr>
                <w:sz w:val="24"/>
                <w:color w:val="000000"/>
              </w:rPr>
              <w:t>(</w:t>
            </w:r>
            <w:r>
              <w:rPr>
                <w:sz w:val="24"/>
                <w:color w:val="000000"/>
              </w:rPr>
              <w:t>二)中标人在服务过程中应融入信息化管理手段，提供培训管理系统、薪资档案管理系统、人员健康信息登记系统、客户投诉管理软件、人员信息档案管理系统等软件，为项目提供高效优质的综合行政服务。</w:t>
            </w:r>
          </w:p>
        </w:tc>
      </w:tr>
      <w:tr>
        <w:tc>
          <w:tcPr>
            <w:tcW w:type="dxa" w:w="2076"/>
          </w:tcPr>
          <w:p/>
        </w:tc>
        <w:tc>
          <w:tcPr>
            <w:tcW w:type="dxa" w:w="415"/>
          </w:tcPr>
          <w:p>
            <w:pPr>
              <w:pStyle w:val="null3"/>
            </w:pPr>
            <w:r>
              <w:rPr/>
              <w:t>3</w:t>
            </w:r>
          </w:p>
        </w:tc>
        <w:tc>
          <w:tcPr>
            <w:tcW w:type="dxa" w:w="5814"/>
          </w:tcPr>
          <w:p>
            <w:pPr>
              <w:pStyle w:val="null3"/>
              <w:ind w:firstLine="482"/>
              <w:jc w:val="left"/>
            </w:pPr>
            <w:r>
              <w:rPr>
                <w:sz w:val="24"/>
                <w:color w:val="000000"/>
              </w:rPr>
              <w:t>(</w:t>
            </w:r>
            <w:r>
              <w:rPr>
                <w:sz w:val="24"/>
                <w:color w:val="000000"/>
              </w:rPr>
              <w:t>三)组织机构必须完整，组织机构总人数必须足以满足采购人的需求。</w:t>
            </w:r>
          </w:p>
        </w:tc>
      </w:tr>
      <w:tr>
        <w:tc>
          <w:tcPr>
            <w:tcW w:type="dxa" w:w="2076"/>
          </w:tcPr>
          <w:p/>
        </w:tc>
        <w:tc>
          <w:tcPr>
            <w:tcW w:type="dxa" w:w="415"/>
          </w:tcPr>
          <w:p>
            <w:pPr>
              <w:pStyle w:val="null3"/>
            </w:pPr>
            <w:r>
              <w:rPr/>
              <w:t>4</w:t>
            </w:r>
          </w:p>
        </w:tc>
        <w:tc>
          <w:tcPr>
            <w:tcW w:type="dxa" w:w="5814"/>
          </w:tcPr>
          <w:p>
            <w:pPr>
              <w:pStyle w:val="null3"/>
              <w:ind w:firstLine="482"/>
              <w:jc w:val="left"/>
            </w:pPr>
            <w:r>
              <w:rPr>
                <w:sz w:val="24"/>
                <w:color w:val="000000"/>
              </w:rPr>
              <w:t>(</w:t>
            </w:r>
            <w:r>
              <w:rPr>
                <w:sz w:val="24"/>
                <w:color w:val="000000"/>
              </w:rPr>
              <w:t>四)服务人员要遵守国家法律法规，遵守采购人的各项规章制度，遵守社会公德，遵守职业操守。</w:t>
            </w:r>
          </w:p>
        </w:tc>
      </w:tr>
      <w:tr>
        <w:tc>
          <w:tcPr>
            <w:tcW w:type="dxa" w:w="2076"/>
          </w:tcPr>
          <w:p/>
        </w:tc>
        <w:tc>
          <w:tcPr>
            <w:tcW w:type="dxa" w:w="415"/>
          </w:tcPr>
          <w:p>
            <w:pPr>
              <w:pStyle w:val="null3"/>
            </w:pPr>
            <w:r>
              <w:rPr/>
              <w:t>5</w:t>
            </w:r>
          </w:p>
        </w:tc>
        <w:tc>
          <w:tcPr>
            <w:tcW w:type="dxa" w:w="5814"/>
          </w:tcPr>
          <w:p>
            <w:pPr>
              <w:pStyle w:val="null3"/>
              <w:ind w:firstLine="482"/>
              <w:jc w:val="left"/>
            </w:pPr>
            <w:r>
              <w:rPr>
                <w:sz w:val="24"/>
                <w:color w:val="000000"/>
              </w:rPr>
              <w:t>(</w:t>
            </w:r>
            <w:r>
              <w:rPr>
                <w:sz w:val="24"/>
                <w:color w:val="000000"/>
              </w:rPr>
              <w:t>五)服务人员要政治思想可靠、身体健康、业务技术强、五官端正形象好、勤奋工作、责任心强、文明礼貌、言行规范、服务意识强。</w:t>
            </w:r>
          </w:p>
        </w:tc>
      </w:tr>
      <w:tr>
        <w:tc>
          <w:tcPr>
            <w:tcW w:type="dxa" w:w="2076"/>
          </w:tcPr>
          <w:p/>
        </w:tc>
        <w:tc>
          <w:tcPr>
            <w:tcW w:type="dxa" w:w="415"/>
          </w:tcPr>
          <w:p>
            <w:pPr>
              <w:pStyle w:val="null3"/>
            </w:pPr>
            <w:r>
              <w:rPr/>
              <w:t>6</w:t>
            </w:r>
          </w:p>
        </w:tc>
        <w:tc>
          <w:tcPr>
            <w:tcW w:type="dxa" w:w="5814"/>
          </w:tcPr>
          <w:p>
            <w:pPr>
              <w:pStyle w:val="null3"/>
              <w:ind w:firstLine="482"/>
              <w:jc w:val="left"/>
            </w:pPr>
            <w:r>
              <w:rPr>
                <w:sz w:val="24"/>
                <w:color w:val="000000"/>
              </w:rPr>
              <w:t>(</w:t>
            </w:r>
            <w:r>
              <w:rPr>
                <w:sz w:val="24"/>
                <w:color w:val="000000"/>
              </w:rPr>
              <w:t>六)中标人各类服务人员按岗位着装要求统一，言行规范，要注意仪容仪表、公众形象，一些公众岗位录用人员体形、身高要有规定。</w:t>
            </w:r>
          </w:p>
        </w:tc>
      </w:tr>
      <w:tr>
        <w:tc>
          <w:tcPr>
            <w:tcW w:type="dxa" w:w="2076"/>
          </w:tcPr>
          <w:p/>
        </w:tc>
        <w:tc>
          <w:tcPr>
            <w:tcW w:type="dxa" w:w="415"/>
          </w:tcPr>
          <w:p>
            <w:pPr>
              <w:pStyle w:val="null3"/>
            </w:pPr>
            <w:r>
              <w:rPr/>
              <w:t>7</w:t>
            </w:r>
          </w:p>
        </w:tc>
        <w:tc>
          <w:tcPr>
            <w:tcW w:type="dxa" w:w="5814"/>
          </w:tcPr>
          <w:p>
            <w:pPr>
              <w:pStyle w:val="null3"/>
              <w:ind w:firstLine="482"/>
              <w:jc w:val="left"/>
            </w:pPr>
            <w:r>
              <w:rPr>
                <w:sz w:val="24"/>
                <w:color w:val="000000"/>
              </w:rPr>
              <w:t>(</w:t>
            </w:r>
            <w:r>
              <w:rPr>
                <w:sz w:val="24"/>
                <w:color w:val="000000"/>
              </w:rPr>
              <w:t>七)服务人员需经严格培训，持合格资格证上岗。服务人员需按照采购人有关要求统一着装，佩带统一工号标志。</w:t>
            </w:r>
          </w:p>
        </w:tc>
      </w:tr>
      <w:tr>
        <w:tc>
          <w:tcPr>
            <w:tcW w:type="dxa" w:w="2076"/>
          </w:tcPr>
          <w:p/>
        </w:tc>
        <w:tc>
          <w:tcPr>
            <w:tcW w:type="dxa" w:w="415"/>
          </w:tcPr>
          <w:p>
            <w:pPr>
              <w:pStyle w:val="null3"/>
            </w:pPr>
            <w:r>
              <w:rPr/>
              <w:t>8</w:t>
            </w:r>
          </w:p>
        </w:tc>
        <w:tc>
          <w:tcPr>
            <w:tcW w:type="dxa" w:w="5814"/>
          </w:tcPr>
          <w:p>
            <w:pPr>
              <w:pStyle w:val="null3"/>
              <w:ind w:firstLine="482"/>
              <w:jc w:val="left"/>
            </w:pPr>
            <w:r>
              <w:rPr>
                <w:sz w:val="24"/>
                <w:color w:val="000000"/>
              </w:rPr>
              <w:t>(</w:t>
            </w:r>
            <w:r>
              <w:rPr>
                <w:sz w:val="24"/>
                <w:color w:val="000000"/>
              </w:rPr>
              <w:t>八)中标人组建的管理机构需配置项目负责人 (非驻场) 对本项目的服务实施综合管理，同时做好与采购人的沟通工作。</w:t>
            </w:r>
          </w:p>
        </w:tc>
      </w:tr>
      <w:tr>
        <w:tc>
          <w:tcPr>
            <w:tcW w:type="dxa" w:w="2076"/>
          </w:tcPr>
          <w:p/>
        </w:tc>
        <w:tc>
          <w:tcPr>
            <w:tcW w:type="dxa" w:w="415"/>
          </w:tcPr>
          <w:p>
            <w:pPr>
              <w:pStyle w:val="null3"/>
            </w:pPr>
            <w:r>
              <w:rPr/>
              <w:t>9</w:t>
            </w:r>
          </w:p>
        </w:tc>
        <w:tc>
          <w:tcPr>
            <w:tcW w:type="dxa" w:w="5814"/>
          </w:tcPr>
          <w:p>
            <w:pPr>
              <w:pStyle w:val="null3"/>
              <w:ind w:firstLine="482"/>
              <w:jc w:val="left"/>
            </w:pPr>
            <w:r>
              <w:rPr>
                <w:sz w:val="24"/>
                <w:color w:val="000000"/>
              </w:rPr>
              <w:t>(</w:t>
            </w:r>
            <w:r>
              <w:rPr>
                <w:sz w:val="24"/>
                <w:color w:val="000000"/>
              </w:rPr>
              <w:t>九)中标人的服务人员须遵守采购人的有关规章制度和管理规定，如有违反或损害采购人利益的，采购人有权拒绝中标人违规服务人员在此工作。</w:t>
            </w:r>
          </w:p>
        </w:tc>
      </w:tr>
      <w:tr>
        <w:tc>
          <w:tcPr>
            <w:tcW w:type="dxa" w:w="2076"/>
          </w:tcPr>
          <w:p/>
        </w:tc>
        <w:tc>
          <w:tcPr>
            <w:tcW w:type="dxa" w:w="415"/>
          </w:tcPr>
          <w:p>
            <w:pPr>
              <w:pStyle w:val="null3"/>
            </w:pPr>
            <w:r>
              <w:rPr/>
              <w:t>10</w:t>
            </w:r>
          </w:p>
        </w:tc>
        <w:tc>
          <w:tcPr>
            <w:tcW w:type="dxa" w:w="5814"/>
          </w:tcPr>
          <w:p>
            <w:pPr>
              <w:pStyle w:val="null3"/>
              <w:ind w:firstLine="482"/>
              <w:jc w:val="left"/>
            </w:pPr>
            <w:r>
              <w:rPr>
                <w:sz w:val="24"/>
                <w:color w:val="000000"/>
              </w:rPr>
              <w:t>(</w:t>
            </w:r>
            <w:r>
              <w:rPr>
                <w:sz w:val="24"/>
                <w:color w:val="000000"/>
              </w:rPr>
              <w:t>十)中标人拟投入本项目全部服务人员应专职服务本项目，中标人不得随意更换服务人员，如需更换的，则必须征得采购人的同意，并经试用符合要求方可更换。如有应急特殊情况需外借本项目工作人员，应报请采购人批准，并保证本项目正常运行。</w:t>
            </w:r>
          </w:p>
        </w:tc>
      </w:tr>
      <w:tr>
        <w:tc>
          <w:tcPr>
            <w:tcW w:type="dxa" w:w="2076"/>
          </w:tcPr>
          <w:p/>
        </w:tc>
        <w:tc>
          <w:tcPr>
            <w:tcW w:type="dxa" w:w="415"/>
          </w:tcPr>
          <w:p>
            <w:pPr>
              <w:pStyle w:val="null3"/>
            </w:pPr>
            <w:r>
              <w:rPr/>
              <w:t>11</w:t>
            </w:r>
          </w:p>
        </w:tc>
        <w:tc>
          <w:tcPr>
            <w:tcW w:type="dxa" w:w="5814"/>
          </w:tcPr>
          <w:p>
            <w:pPr>
              <w:pStyle w:val="null3"/>
              <w:ind w:firstLine="482"/>
              <w:jc w:val="left"/>
            </w:pPr>
            <w:r>
              <w:rPr>
                <w:sz w:val="24"/>
                <w:color w:val="000000"/>
              </w:rPr>
              <w:t>(</w:t>
            </w:r>
            <w:r>
              <w:rPr>
                <w:sz w:val="24"/>
                <w:color w:val="000000"/>
              </w:rPr>
              <w:t>十一)中标人需要根据采购人各部门的要求，按照资产管理体系标准，制定资产管理计划，确定资产管理目标，平衡资产全寿命周期的风险、成本、绩效进行资产管理决策，做好财产登记工作，落实经理负责制的管理责任。</w:t>
            </w:r>
          </w:p>
        </w:tc>
      </w:tr>
      <w:tr>
        <w:tc>
          <w:tcPr>
            <w:tcW w:type="dxa" w:w="2076"/>
          </w:tcPr>
          <w:p/>
        </w:tc>
        <w:tc>
          <w:tcPr>
            <w:tcW w:type="dxa" w:w="415"/>
          </w:tcPr>
          <w:p>
            <w:pPr>
              <w:pStyle w:val="null3"/>
            </w:pPr>
            <w:r>
              <w:rPr/>
              <w:t>12</w:t>
            </w:r>
          </w:p>
        </w:tc>
        <w:tc>
          <w:tcPr>
            <w:tcW w:type="dxa" w:w="5814"/>
          </w:tcPr>
          <w:p>
            <w:pPr>
              <w:pStyle w:val="null3"/>
              <w:ind w:firstLine="482"/>
              <w:jc w:val="left"/>
            </w:pPr>
            <w:r>
              <w:rPr>
                <w:sz w:val="24"/>
                <w:color w:val="000000"/>
              </w:rPr>
              <w:t>(</w:t>
            </w:r>
            <w:r>
              <w:rPr>
                <w:sz w:val="24"/>
                <w:color w:val="000000"/>
              </w:rPr>
              <w:t>十二)中标人应保持服务质量的持续改进，推行培训管理体系，有完善的员工培训和实施计划(包括但不限于入职培训计划、月度培训计划、年度培训计划等，明确培训日期、培训内容、培训负责人等) 。培训的质量决定管理服务的质量，中标人应强调培训过程的规范性、有效性和持续改进情况，全力提升项目行政和窗口社会化服务品质。</w:t>
            </w:r>
          </w:p>
        </w:tc>
      </w:tr>
      <w:tr>
        <w:tc>
          <w:tcPr>
            <w:tcW w:type="dxa" w:w="2076"/>
          </w:tcPr>
          <w:p/>
        </w:tc>
        <w:tc>
          <w:tcPr>
            <w:tcW w:type="dxa" w:w="415"/>
          </w:tcPr>
          <w:p>
            <w:pPr>
              <w:pStyle w:val="null3"/>
            </w:pPr>
            <w:r>
              <w:rPr/>
              <w:t>13</w:t>
            </w:r>
          </w:p>
        </w:tc>
        <w:tc>
          <w:tcPr>
            <w:tcW w:type="dxa" w:w="5814"/>
          </w:tcPr>
          <w:p>
            <w:pPr>
              <w:pStyle w:val="null3"/>
              <w:ind w:firstLine="482"/>
              <w:jc w:val="left"/>
            </w:pPr>
            <w:r>
              <w:rPr>
                <w:sz w:val="24"/>
                <w:color w:val="000000"/>
              </w:rPr>
              <w:t>(</w:t>
            </w:r>
            <w:r>
              <w:rPr>
                <w:sz w:val="24"/>
                <w:color w:val="000000"/>
              </w:rPr>
              <w:t>十三)中标人应根据实际情况相应制定管理服务制度，包括员工管理制度 (员工入(离)职和职务变动管理制度、员工保密管理制度、员工考勤管理制度、员工绩效管理制度、员工招聘管理制度) 、档案管理制度等，并组织实施，做好相关工作。</w:t>
            </w:r>
          </w:p>
        </w:tc>
      </w:tr>
      <w:tr>
        <w:tc>
          <w:tcPr>
            <w:tcW w:type="dxa" w:w="2076"/>
          </w:tcPr>
          <w:p/>
        </w:tc>
        <w:tc>
          <w:tcPr>
            <w:tcW w:type="dxa" w:w="415"/>
          </w:tcPr>
          <w:p>
            <w:pPr>
              <w:pStyle w:val="null3"/>
            </w:pPr>
            <w:r>
              <w:rPr/>
              <w:t>14</w:t>
            </w:r>
          </w:p>
        </w:tc>
        <w:tc>
          <w:tcPr>
            <w:tcW w:type="dxa" w:w="5814"/>
          </w:tcPr>
          <w:p>
            <w:pPr>
              <w:pStyle w:val="null3"/>
              <w:ind w:firstLine="482"/>
              <w:jc w:val="left"/>
            </w:pPr>
            <w:r>
              <w:rPr>
                <w:sz w:val="24"/>
                <w:color w:val="000000"/>
              </w:rPr>
              <w:t>(</w:t>
            </w:r>
            <w:r>
              <w:rPr>
                <w:sz w:val="24"/>
                <w:color w:val="000000"/>
              </w:rPr>
              <w:t>十四)中标人应全力推行质量管理体系、环境管理体系、职业安全健康认证体系、培训管理体系、诚信管理体系、社会责任管理体系、合规管理体系、资产管理体系等管理体系。制定各项规章制度，并全面贯彻执行。</w:t>
            </w:r>
          </w:p>
        </w:tc>
      </w:tr>
      <w:tr>
        <w:tc>
          <w:tcPr>
            <w:tcW w:type="dxa" w:w="2076"/>
          </w:tcPr>
          <w:p>
            <w:pPr>
              <w:pStyle w:val="null3"/>
            </w:pPr>
            <w:r>
              <w:rPr/>
              <w:t>★</w:t>
            </w:r>
          </w:p>
        </w:tc>
        <w:tc>
          <w:tcPr>
            <w:tcW w:type="dxa" w:w="415"/>
          </w:tcPr>
          <w:p>
            <w:pPr>
              <w:pStyle w:val="null3"/>
            </w:pPr>
            <w:r>
              <w:rPr/>
              <w:t>15</w:t>
            </w:r>
          </w:p>
        </w:tc>
        <w:tc>
          <w:tcPr>
            <w:tcW w:type="dxa" w:w="5814"/>
          </w:tcPr>
          <w:p>
            <w:pPr>
              <w:pStyle w:val="null3"/>
              <w:ind w:firstLine="482"/>
              <w:jc w:val="left"/>
            </w:pPr>
            <w:r>
              <w:rPr>
                <w:sz w:val="24"/>
              </w:rPr>
              <w:t>★</w:t>
            </w:r>
            <w:r>
              <w:rPr>
                <w:sz w:val="24"/>
                <w:color w:val="000000"/>
              </w:rPr>
              <w:t>(</w:t>
            </w:r>
            <w:r>
              <w:rPr>
                <w:sz w:val="24"/>
                <w:color w:val="000000"/>
              </w:rPr>
              <w:t>十五)如采购人的原有岗位已有相应服务人员， 中标人应承诺优先安排留用原有人员(投标时须提供承诺函，格式自拟) 。</w:t>
            </w:r>
          </w:p>
        </w:tc>
      </w:tr>
      <w:tr>
        <w:tc>
          <w:tcPr>
            <w:tcW w:type="dxa" w:w="2076"/>
          </w:tcPr>
          <w:p/>
        </w:tc>
        <w:tc>
          <w:tcPr>
            <w:tcW w:type="dxa" w:w="415"/>
          </w:tcPr>
          <w:p>
            <w:pPr>
              <w:pStyle w:val="null3"/>
            </w:pPr>
            <w:r>
              <w:rPr/>
              <w:t>16</w:t>
            </w:r>
          </w:p>
        </w:tc>
        <w:tc>
          <w:tcPr>
            <w:tcW w:type="dxa" w:w="5814"/>
          </w:tcPr>
          <w:p>
            <w:pPr>
              <w:pStyle w:val="null3"/>
              <w:jc w:val="both"/>
            </w:pPr>
            <w:r>
              <w:rPr>
                <w:sz w:val="24"/>
                <w:b/>
              </w:rPr>
              <w:t>二、本项目服务人员配置要求及素质要求</w:t>
            </w:r>
          </w:p>
          <w:p>
            <w:pPr>
              <w:pStyle w:val="null3"/>
              <w:ind w:firstLine="482"/>
              <w:jc w:val="left"/>
            </w:pPr>
            <w:r>
              <w:rPr>
                <w:sz w:val="24"/>
              </w:rPr>
              <w:t>(</w:t>
            </w:r>
            <w:r>
              <w:rPr>
                <w:sz w:val="24"/>
              </w:rPr>
              <w:t>一)本项目需配备服务人数应不少于58人。</w:t>
            </w:r>
          </w:p>
        </w:tc>
      </w:tr>
      <w:tr>
        <w:tc>
          <w:tcPr>
            <w:tcW w:type="dxa" w:w="2076"/>
          </w:tcPr>
          <w:p/>
        </w:tc>
        <w:tc>
          <w:tcPr>
            <w:tcW w:type="dxa" w:w="415"/>
          </w:tcPr>
          <w:p>
            <w:pPr>
              <w:pStyle w:val="null3"/>
            </w:pPr>
            <w:r>
              <w:rPr/>
              <w:t>17</w:t>
            </w:r>
          </w:p>
        </w:tc>
        <w:tc>
          <w:tcPr>
            <w:tcW w:type="dxa" w:w="5814"/>
          </w:tcPr>
          <w:p>
            <w:pPr>
              <w:pStyle w:val="null3"/>
              <w:ind w:firstLine="482"/>
              <w:jc w:val="left"/>
            </w:pPr>
            <w:r>
              <w:rPr>
                <w:sz w:val="24"/>
              </w:rPr>
              <w:t>(</w:t>
            </w:r>
            <w:r>
              <w:rPr>
                <w:sz w:val="24"/>
              </w:rPr>
              <w:t>二)具体各岗位人数及重要岗位的服务人员聘用要经采购人审定，个别较为重要的岗位人事变动应听取采购人的意见和建议。</w:t>
            </w:r>
          </w:p>
        </w:tc>
      </w:tr>
      <w:tr>
        <w:tc>
          <w:tcPr>
            <w:tcW w:type="dxa" w:w="2076"/>
          </w:tcPr>
          <w:p/>
        </w:tc>
        <w:tc>
          <w:tcPr>
            <w:tcW w:type="dxa" w:w="415"/>
          </w:tcPr>
          <w:p>
            <w:pPr>
              <w:pStyle w:val="null3"/>
            </w:pPr>
            <w:r>
              <w:rPr/>
              <w:t>18</w:t>
            </w:r>
          </w:p>
        </w:tc>
        <w:tc>
          <w:tcPr>
            <w:tcW w:type="dxa" w:w="5814"/>
          </w:tcPr>
          <w:p>
            <w:pPr>
              <w:pStyle w:val="null3"/>
              <w:ind w:firstLine="482"/>
              <w:jc w:val="left"/>
            </w:pPr>
            <w:r>
              <w:rPr>
                <w:sz w:val="24"/>
              </w:rPr>
              <w:t>(</w:t>
            </w:r>
            <w:r>
              <w:rPr>
                <w:sz w:val="24"/>
              </w:rPr>
              <w:t>三)项目负责人(非驻场，不含58人中)素质要求：年龄30-40周岁，本科或以上学历，持有人力资源和社会保障部门颁发的人力资源或经济或管理类中级或以上专业技术资格证书等，并具备5年或以上工作经验的。</w:t>
            </w:r>
          </w:p>
        </w:tc>
      </w:tr>
      <w:tr>
        <w:tc>
          <w:tcPr>
            <w:tcW w:type="dxa" w:w="2076"/>
          </w:tcPr>
          <w:p/>
        </w:tc>
        <w:tc>
          <w:tcPr>
            <w:tcW w:type="dxa" w:w="415"/>
          </w:tcPr>
          <w:p>
            <w:pPr>
              <w:pStyle w:val="null3"/>
            </w:pPr>
            <w:r>
              <w:rPr/>
              <w:t>19</w:t>
            </w:r>
          </w:p>
        </w:tc>
        <w:tc>
          <w:tcPr>
            <w:tcW w:type="dxa" w:w="5814"/>
          </w:tcPr>
          <w:p>
            <w:pPr>
              <w:pStyle w:val="null3"/>
              <w:jc w:val="both"/>
            </w:pPr>
            <w:r>
              <w:rPr>
                <w:sz w:val="24"/>
                <w:b/>
                <w:color w:val="000000"/>
              </w:rPr>
              <w:t>三、服务项目内容</w:t>
            </w:r>
          </w:p>
          <w:p>
            <w:pPr>
              <w:pStyle w:val="null3"/>
              <w:ind w:firstLine="482"/>
              <w:jc w:val="left"/>
            </w:pPr>
            <w:r>
              <w:rPr>
                <w:sz w:val="24"/>
                <w:color w:val="000000"/>
              </w:rPr>
              <w:t>(</w:t>
            </w:r>
            <w:r>
              <w:rPr>
                <w:sz w:val="24"/>
                <w:color w:val="000000"/>
              </w:rPr>
              <w:t>一)本项目管理服务内容包括：综合事务服务工作，包括但不限于机关行政及一般性辅助工作、内勤收发工作、接待群众来访及业务咨询等。</w:t>
            </w:r>
          </w:p>
        </w:tc>
      </w:tr>
      <w:tr>
        <w:tc>
          <w:tcPr>
            <w:tcW w:type="dxa" w:w="2076"/>
          </w:tcPr>
          <w:p/>
        </w:tc>
        <w:tc>
          <w:tcPr>
            <w:tcW w:type="dxa" w:w="415"/>
          </w:tcPr>
          <w:p>
            <w:pPr>
              <w:pStyle w:val="null3"/>
            </w:pPr>
            <w:r>
              <w:rPr/>
              <w:t>20</w:t>
            </w:r>
          </w:p>
        </w:tc>
        <w:tc>
          <w:tcPr>
            <w:tcW w:type="dxa" w:w="5814"/>
          </w:tcPr>
          <w:p>
            <w:pPr>
              <w:pStyle w:val="null3"/>
              <w:ind w:firstLine="482"/>
              <w:jc w:val="left"/>
            </w:pPr>
            <w:r>
              <w:rPr>
                <w:sz w:val="24"/>
                <w:color w:val="000000"/>
              </w:rPr>
              <w:t>(</w:t>
            </w:r>
            <w:r>
              <w:rPr>
                <w:sz w:val="24"/>
                <w:color w:val="000000"/>
              </w:rPr>
              <w:t>二)设立以采购人为主导、中标人高层管理人员为辅助的联合共管机制。中标人派驻采购人提供社会化服务的服务人员应遵守采购人有关规章制度和管理规定，坚决贯彻执行采购人主管部门的管理要求，听从采购人主管部门的指挥调动，以确保采购人正常运作。</w:t>
            </w:r>
          </w:p>
        </w:tc>
      </w:tr>
      <w:tr>
        <w:tc>
          <w:tcPr>
            <w:tcW w:type="dxa" w:w="2076"/>
          </w:tcPr>
          <w:p/>
        </w:tc>
        <w:tc>
          <w:tcPr>
            <w:tcW w:type="dxa" w:w="415"/>
          </w:tcPr>
          <w:p>
            <w:pPr>
              <w:pStyle w:val="null3"/>
            </w:pPr>
            <w:r>
              <w:rPr/>
              <w:t>21</w:t>
            </w:r>
          </w:p>
        </w:tc>
        <w:tc>
          <w:tcPr>
            <w:tcW w:type="dxa" w:w="5814"/>
          </w:tcPr>
          <w:p>
            <w:pPr>
              <w:pStyle w:val="null3"/>
              <w:ind w:firstLine="482"/>
              <w:jc w:val="left"/>
            </w:pPr>
            <w:r>
              <w:rPr>
                <w:sz w:val="24"/>
                <w:color w:val="000000"/>
              </w:rPr>
              <w:t>(</w:t>
            </w:r>
            <w:r>
              <w:rPr>
                <w:sz w:val="24"/>
                <w:color w:val="000000"/>
              </w:rPr>
              <w:t>三)项目负责人岗位职责：统筹整个项目，指导并管理所有项目的运作。负责整个项目管理工作，确保服务质量达标；负责员工的培训及考核工作，可实行奖惩制度；与有关部门和领导取得联系，加强沟通合作；负责员工的请假、休息、考勤、加班和调动工作；主持召开班前会，保存会议记录；处理员工之间的矛盾等。</w:t>
            </w:r>
          </w:p>
        </w:tc>
      </w:tr>
      <w:tr>
        <w:tc>
          <w:tcPr>
            <w:tcW w:type="dxa" w:w="2076"/>
          </w:tcPr>
          <w:p/>
        </w:tc>
        <w:tc>
          <w:tcPr>
            <w:tcW w:type="dxa" w:w="415"/>
          </w:tcPr>
          <w:p>
            <w:pPr>
              <w:pStyle w:val="null3"/>
            </w:pPr>
            <w:r>
              <w:rPr/>
              <w:t>22</w:t>
            </w:r>
          </w:p>
        </w:tc>
        <w:tc>
          <w:tcPr>
            <w:tcW w:type="dxa" w:w="5814"/>
          </w:tcPr>
          <w:p>
            <w:pPr>
              <w:pStyle w:val="null3"/>
              <w:ind w:firstLine="482"/>
              <w:jc w:val="left"/>
            </w:pPr>
            <w:r>
              <w:rPr>
                <w:sz w:val="24"/>
                <w:color w:val="000000"/>
              </w:rPr>
              <w:t>(</w:t>
            </w:r>
            <w:r>
              <w:rPr>
                <w:sz w:val="24"/>
                <w:color w:val="000000"/>
              </w:rPr>
              <w:t>四)人员岗位职责：负责组织接待群众来访、业务咨询，组织办理来信、来电、服务热线、网上信访和网站留言；承办采购人管理人员交办的其他任务。</w:t>
            </w:r>
          </w:p>
        </w:tc>
      </w:tr>
      <w:tr>
        <w:tc>
          <w:tcPr>
            <w:tcW w:type="dxa" w:w="2076"/>
          </w:tcPr>
          <w:p/>
        </w:tc>
        <w:tc>
          <w:tcPr>
            <w:tcW w:type="dxa" w:w="415"/>
          </w:tcPr>
          <w:p>
            <w:pPr>
              <w:pStyle w:val="null3"/>
            </w:pPr>
            <w:r>
              <w:rPr/>
              <w:t>23</w:t>
            </w:r>
          </w:p>
        </w:tc>
        <w:tc>
          <w:tcPr>
            <w:tcW w:type="dxa" w:w="5814"/>
          </w:tcPr>
          <w:p>
            <w:pPr>
              <w:pStyle w:val="null3"/>
              <w:ind w:firstLine="482"/>
              <w:jc w:val="left"/>
            </w:pPr>
            <w:r>
              <w:rPr>
                <w:sz w:val="24"/>
                <w:color w:val="000000"/>
              </w:rPr>
              <w:t>(</w:t>
            </w:r>
            <w:r>
              <w:rPr>
                <w:sz w:val="24"/>
                <w:color w:val="000000"/>
              </w:rPr>
              <w:t>五)人员岗位职责： 负责业务案件及公文交换；协助一般性综合办文的汇总承办工作；负责文书档案归档、整理、保管；负责后勤保障、办公耗材、固定资产的管理；负责重点工作督办工作；采购人管理人员交办的其他工作。</w:t>
            </w:r>
          </w:p>
        </w:tc>
      </w:tr>
      <w:tr>
        <w:tc>
          <w:tcPr>
            <w:tcW w:type="dxa" w:w="2076"/>
          </w:tcPr>
          <w:p/>
        </w:tc>
        <w:tc>
          <w:tcPr>
            <w:tcW w:type="dxa" w:w="415"/>
          </w:tcPr>
          <w:p>
            <w:pPr>
              <w:pStyle w:val="null3"/>
            </w:pPr>
            <w:r>
              <w:rPr/>
              <w:t>24</w:t>
            </w:r>
          </w:p>
        </w:tc>
        <w:tc>
          <w:tcPr>
            <w:tcW w:type="dxa" w:w="5814"/>
          </w:tcPr>
          <w:p>
            <w:pPr>
              <w:pStyle w:val="null3"/>
              <w:ind w:firstLine="482"/>
              <w:jc w:val="left"/>
            </w:pPr>
            <w:r>
              <w:rPr>
                <w:sz w:val="24"/>
                <w:color w:val="000000"/>
              </w:rPr>
              <w:t>(</w:t>
            </w:r>
            <w:r>
              <w:rPr>
                <w:sz w:val="24"/>
                <w:color w:val="000000"/>
              </w:rPr>
              <w:t>六)人员岗位职责： 负责机关行政一般性辅助工作、内勤收发工作等。</w:t>
            </w:r>
          </w:p>
        </w:tc>
      </w:tr>
      <w:tr>
        <w:tc>
          <w:tcPr>
            <w:tcW w:type="dxa" w:w="2076"/>
          </w:tcPr>
          <w:p/>
        </w:tc>
        <w:tc>
          <w:tcPr>
            <w:tcW w:type="dxa" w:w="415"/>
          </w:tcPr>
          <w:p>
            <w:pPr>
              <w:pStyle w:val="null3"/>
            </w:pPr>
            <w:r>
              <w:rPr/>
              <w:t>25</w:t>
            </w:r>
          </w:p>
        </w:tc>
        <w:tc>
          <w:tcPr>
            <w:tcW w:type="dxa" w:w="5814"/>
          </w:tcPr>
          <w:p>
            <w:pPr>
              <w:pStyle w:val="null3"/>
              <w:ind w:firstLine="482"/>
              <w:jc w:val="left"/>
            </w:pPr>
            <w:r>
              <w:rPr>
                <w:sz w:val="24"/>
                <w:color w:val="000000"/>
              </w:rPr>
              <w:t>(</w:t>
            </w:r>
            <w:r>
              <w:rPr>
                <w:sz w:val="24"/>
                <w:color w:val="000000"/>
              </w:rPr>
              <w:t>七)人员岗位的数量以采购人确认为准，中标人须根据采购人的要求对应提供人员，且中标人要建立相关档案管理，配备专职专业人员 (需持有档案专业人员岗位证书) 建立档案资料的收集、分类整理、归档和使用管理制度，并将每个月各项支出报表上交采购人备案。</w:t>
            </w:r>
          </w:p>
        </w:tc>
      </w:tr>
      <w:tr>
        <w:tc>
          <w:tcPr>
            <w:tcW w:type="dxa" w:w="2076"/>
          </w:tcPr>
          <w:p/>
        </w:tc>
        <w:tc>
          <w:tcPr>
            <w:tcW w:type="dxa" w:w="415"/>
          </w:tcPr>
          <w:p>
            <w:pPr>
              <w:pStyle w:val="null3"/>
            </w:pPr>
            <w:r>
              <w:rPr/>
              <w:t>26</w:t>
            </w:r>
          </w:p>
        </w:tc>
        <w:tc>
          <w:tcPr>
            <w:tcW w:type="dxa" w:w="5814"/>
          </w:tcPr>
          <w:p>
            <w:pPr>
              <w:pStyle w:val="null3"/>
              <w:ind w:firstLine="482"/>
              <w:jc w:val="left"/>
            </w:pPr>
            <w:r>
              <w:rPr>
                <w:sz w:val="24"/>
                <w:color w:val="000000"/>
              </w:rPr>
              <w:t>(</w:t>
            </w:r>
            <w:r>
              <w:rPr>
                <w:sz w:val="24"/>
                <w:color w:val="000000"/>
              </w:rPr>
              <w:t>八)以下各项费用为本项目固定费用，中标人需在投标报价中包含，已包含在总预算内。</w:t>
            </w:r>
          </w:p>
          <w:tbl>
            <w:tblPr>
              <w:tblBorders>
                <w:top w:val="none" w:color="000000" w:sz="4"/>
                <w:left w:val="none" w:color="000000" w:sz="4"/>
                <w:bottom w:val="none" w:color="000000" w:sz="4"/>
                <w:right w:val="none" w:color="000000" w:sz="4"/>
                <w:insideH w:val="none"/>
                <w:insideV w:val="none"/>
              </w:tblBorders>
            </w:tblPr>
            <w:tblGrid>
              <w:gridCol w:w="826"/>
              <w:gridCol w:w="1073"/>
              <w:gridCol w:w="3699"/>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3"/>
                    <w:jc w:val="center"/>
                  </w:pPr>
                  <w:r>
                    <w:rPr>
                      <w:sz w:val="24"/>
                      <w:color w:val="000000"/>
                    </w:rPr>
                    <w:t>内容</w:t>
                  </w:r>
                </w:p>
              </w:tc>
              <w:tc>
                <w:tcPr>
                  <w:tcW w:type="dxa" w:w="3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17"/>
                    <w:jc w:val="center"/>
                  </w:pPr>
                  <w:r>
                    <w:rPr>
                      <w:sz w:val="24"/>
                      <w:color w:val="000000"/>
                    </w:rPr>
                    <w:t>备注</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绩效奖金</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根据采购人意见，作为绩效考核(含考核奖及绩效) 奖)，服务期内一次性发放。</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体检费</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8"/>
                    <w:jc w:val="left"/>
                  </w:pPr>
                  <w:r>
                    <w:rPr>
                      <w:sz w:val="24"/>
                      <w:color w:val="000000"/>
                    </w:rPr>
                    <w:t>确保项目投入人员每年一体检。</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4"/>
                    <w:jc w:val="center"/>
                  </w:pPr>
                  <w:r>
                    <w:rPr>
                      <w:sz w:val="24"/>
                      <w:color w:val="000000"/>
                    </w:rPr>
                    <w:t>其他费用</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6"/>
                    <w:jc w:val="left"/>
                  </w:pPr>
                  <w:r>
                    <w:rPr>
                      <w:sz w:val="24"/>
                      <w:color w:val="000000"/>
                    </w:rPr>
                    <w:t>年终、全勤、加班费、高温补贴、工会福利补贴等。</w:t>
                  </w:r>
                </w:p>
              </w:tc>
            </w:tr>
          </w:tbl>
          <w:p/>
        </w:tc>
      </w:tr>
      <w:tr>
        <w:tc>
          <w:tcPr>
            <w:tcW w:type="dxa" w:w="2076"/>
          </w:tcPr>
          <w:p/>
        </w:tc>
        <w:tc>
          <w:tcPr>
            <w:tcW w:type="dxa" w:w="415"/>
          </w:tcPr>
          <w:p>
            <w:pPr>
              <w:pStyle w:val="null3"/>
            </w:pPr>
            <w:r>
              <w:rPr/>
              <w:t>27</w:t>
            </w:r>
          </w:p>
        </w:tc>
        <w:tc>
          <w:tcPr>
            <w:tcW w:type="dxa" w:w="5814"/>
          </w:tcPr>
          <w:p>
            <w:pPr>
              <w:pStyle w:val="null3"/>
              <w:jc w:val="both"/>
            </w:pPr>
            <w:r>
              <w:rPr>
                <w:sz w:val="24"/>
                <w:b/>
                <w:color w:val="000000"/>
              </w:rPr>
              <w:t>四、保密管理</w:t>
            </w:r>
          </w:p>
          <w:p>
            <w:pPr>
              <w:pStyle w:val="null3"/>
              <w:ind w:firstLine="482"/>
              <w:jc w:val="left"/>
            </w:pPr>
            <w:r>
              <w:rPr>
                <w:sz w:val="24"/>
                <w:color w:val="000000"/>
              </w:rPr>
              <w:t>(</w:t>
            </w:r>
            <w:r>
              <w:rPr>
                <w:sz w:val="24"/>
                <w:color w:val="000000"/>
              </w:rPr>
              <w:t>一)中标人须保证录用人员严格遵守采购人的保密要求，不得泄密。中标人应针对采购人需求制定保密管理制度，制度涵盖人员管理、场所管理、责任追究等内容。</w:t>
            </w:r>
          </w:p>
        </w:tc>
      </w:tr>
      <w:tr>
        <w:tc>
          <w:tcPr>
            <w:tcW w:type="dxa" w:w="2076"/>
          </w:tcPr>
          <w:p/>
        </w:tc>
        <w:tc>
          <w:tcPr>
            <w:tcW w:type="dxa" w:w="415"/>
          </w:tcPr>
          <w:p>
            <w:pPr>
              <w:pStyle w:val="null3"/>
            </w:pPr>
            <w:r>
              <w:rPr/>
              <w:t>28</w:t>
            </w:r>
          </w:p>
        </w:tc>
        <w:tc>
          <w:tcPr>
            <w:tcW w:type="dxa" w:w="5814"/>
          </w:tcPr>
          <w:p>
            <w:pPr>
              <w:pStyle w:val="null3"/>
              <w:ind w:firstLine="482"/>
              <w:jc w:val="left"/>
            </w:pPr>
            <w:r>
              <w:rPr>
                <w:sz w:val="24"/>
                <w:color w:val="000000"/>
              </w:rPr>
              <w:t>(</w:t>
            </w:r>
            <w:r>
              <w:rPr>
                <w:sz w:val="24"/>
                <w:color w:val="000000"/>
              </w:rPr>
              <w:t>二)中标人发现服务保密管理中存在泄密隐患和问题的，应当立即通知采购人。</w:t>
            </w:r>
          </w:p>
        </w:tc>
      </w:tr>
      <w:tr>
        <w:tc>
          <w:tcPr>
            <w:tcW w:type="dxa" w:w="2076"/>
          </w:tcPr>
          <w:p/>
        </w:tc>
        <w:tc>
          <w:tcPr>
            <w:tcW w:type="dxa" w:w="415"/>
          </w:tcPr>
          <w:p>
            <w:pPr>
              <w:pStyle w:val="null3"/>
            </w:pPr>
            <w:r>
              <w:rPr/>
              <w:t>29</w:t>
            </w:r>
          </w:p>
        </w:tc>
        <w:tc>
          <w:tcPr>
            <w:tcW w:type="dxa" w:w="5814"/>
          </w:tcPr>
          <w:p>
            <w:pPr>
              <w:pStyle w:val="null3"/>
              <w:ind w:firstLine="482"/>
              <w:jc w:val="left"/>
            </w:pPr>
            <w:r>
              <w:rPr>
                <w:sz w:val="24"/>
                <w:color w:val="000000"/>
              </w:rPr>
              <w:t>(</w:t>
            </w:r>
            <w:r>
              <w:rPr>
                <w:sz w:val="24"/>
                <w:color w:val="000000"/>
              </w:rPr>
              <w:t>三)中标人应当对参与本单位服务的服务人员进行保密培训和教育，上岗前培训不少于2小时，对在岗服务人员每年培训时间不少于24小时。</w:t>
            </w:r>
          </w:p>
        </w:tc>
      </w:tr>
      <w:tr>
        <w:tc>
          <w:tcPr>
            <w:tcW w:type="dxa" w:w="2076"/>
          </w:tcPr>
          <w:p/>
        </w:tc>
        <w:tc>
          <w:tcPr>
            <w:tcW w:type="dxa" w:w="415"/>
          </w:tcPr>
          <w:p>
            <w:pPr>
              <w:pStyle w:val="null3"/>
            </w:pPr>
            <w:r>
              <w:rPr/>
              <w:t>30</w:t>
            </w:r>
          </w:p>
        </w:tc>
        <w:tc>
          <w:tcPr>
            <w:tcW w:type="dxa" w:w="5814"/>
          </w:tcPr>
          <w:p>
            <w:pPr>
              <w:pStyle w:val="null3"/>
              <w:ind w:firstLine="482"/>
              <w:jc w:val="left"/>
            </w:pPr>
            <w:r>
              <w:rPr>
                <w:sz w:val="24"/>
                <w:color w:val="000000"/>
              </w:rPr>
              <w:t>(</w:t>
            </w:r>
            <w:r>
              <w:rPr>
                <w:sz w:val="24"/>
                <w:color w:val="000000"/>
              </w:rPr>
              <w:t>四)中标人签订合同之日起15天内提供服务人员的身份资料，服务人员发生变动的，应当及时进行书面说明并提供新任职人员的资料。</w:t>
            </w:r>
          </w:p>
        </w:tc>
      </w:tr>
      <w:tr>
        <w:tc>
          <w:tcPr>
            <w:tcW w:type="dxa" w:w="2076"/>
          </w:tcPr>
          <w:p/>
        </w:tc>
        <w:tc>
          <w:tcPr>
            <w:tcW w:type="dxa" w:w="415"/>
          </w:tcPr>
          <w:p>
            <w:pPr>
              <w:pStyle w:val="null3"/>
            </w:pPr>
            <w:r>
              <w:rPr/>
              <w:t>31</w:t>
            </w:r>
          </w:p>
        </w:tc>
        <w:tc>
          <w:tcPr>
            <w:tcW w:type="dxa" w:w="5814"/>
          </w:tcPr>
          <w:p>
            <w:pPr>
              <w:pStyle w:val="null3"/>
              <w:ind w:firstLine="482"/>
              <w:jc w:val="left"/>
            </w:pPr>
            <w:r>
              <w:rPr>
                <w:sz w:val="24"/>
                <w:color w:val="000000"/>
              </w:rPr>
              <w:t>(</w:t>
            </w:r>
            <w:r>
              <w:rPr>
                <w:sz w:val="24"/>
                <w:color w:val="000000"/>
              </w:rPr>
              <w:t>五)中标人应当核实因工作需要进入办公场所的服务人员的真实身份，保留能够证实其身份的有关材料，所有员工要进行政审。</w:t>
            </w:r>
          </w:p>
        </w:tc>
      </w:tr>
      <w:tr>
        <w:tc>
          <w:tcPr>
            <w:tcW w:type="dxa" w:w="2076"/>
          </w:tcPr>
          <w:p/>
        </w:tc>
        <w:tc>
          <w:tcPr>
            <w:tcW w:type="dxa" w:w="415"/>
          </w:tcPr>
          <w:p>
            <w:pPr>
              <w:pStyle w:val="null3"/>
            </w:pPr>
            <w:r>
              <w:rPr/>
              <w:t>32</w:t>
            </w:r>
          </w:p>
        </w:tc>
        <w:tc>
          <w:tcPr>
            <w:tcW w:type="dxa" w:w="5814"/>
          </w:tcPr>
          <w:p>
            <w:pPr>
              <w:pStyle w:val="null3"/>
              <w:ind w:firstLine="482"/>
              <w:jc w:val="left"/>
            </w:pPr>
            <w:r>
              <w:rPr>
                <w:sz w:val="24"/>
                <w:color w:val="000000"/>
              </w:rPr>
              <w:t>(</w:t>
            </w:r>
            <w:r>
              <w:rPr>
                <w:sz w:val="24"/>
                <w:color w:val="000000"/>
              </w:rPr>
              <w:t>六)中标人的服务人员进入委托人办公场所应当佩戴工作证 (卡、牌) 等表明服务人员身份；未经采购人允许并经过符合保密规定的程序，中标人的服务人员不得进入保密要害部门、场所等。</w:t>
            </w:r>
          </w:p>
        </w:tc>
      </w:tr>
      <w:tr>
        <w:tc>
          <w:tcPr>
            <w:tcW w:type="dxa" w:w="2076"/>
          </w:tcPr>
          <w:p/>
        </w:tc>
        <w:tc>
          <w:tcPr>
            <w:tcW w:type="dxa" w:w="415"/>
          </w:tcPr>
          <w:p>
            <w:pPr>
              <w:pStyle w:val="null3"/>
            </w:pPr>
            <w:r>
              <w:rPr/>
              <w:t>33</w:t>
            </w:r>
          </w:p>
        </w:tc>
        <w:tc>
          <w:tcPr>
            <w:tcW w:type="dxa" w:w="5814"/>
          </w:tcPr>
          <w:p>
            <w:pPr>
              <w:pStyle w:val="null3"/>
              <w:ind w:firstLine="482"/>
              <w:jc w:val="left"/>
            </w:pPr>
            <w:r>
              <w:rPr>
                <w:sz w:val="24"/>
                <w:color w:val="000000"/>
              </w:rPr>
              <w:t>(</w:t>
            </w:r>
            <w:r>
              <w:rPr>
                <w:sz w:val="24"/>
                <w:color w:val="000000"/>
              </w:rPr>
              <w:t>七)中标人保证因工作需要进入办公场所的服务人员相对固定，并将有关人员的姓名及照片提供给采购人，公布于办公场所的显著位置。</w:t>
            </w:r>
          </w:p>
        </w:tc>
      </w:tr>
      <w:tr>
        <w:tc>
          <w:tcPr>
            <w:tcW w:type="dxa" w:w="2076"/>
          </w:tcPr>
          <w:p/>
        </w:tc>
        <w:tc>
          <w:tcPr>
            <w:tcW w:type="dxa" w:w="415"/>
          </w:tcPr>
          <w:p>
            <w:pPr>
              <w:pStyle w:val="null3"/>
            </w:pPr>
            <w:r>
              <w:rPr/>
              <w:t>34</w:t>
            </w:r>
          </w:p>
        </w:tc>
        <w:tc>
          <w:tcPr>
            <w:tcW w:type="dxa" w:w="5814"/>
          </w:tcPr>
          <w:p>
            <w:pPr>
              <w:pStyle w:val="null3"/>
              <w:ind w:firstLine="482"/>
              <w:jc w:val="left"/>
            </w:pPr>
            <w:r>
              <w:rPr>
                <w:sz w:val="24"/>
                <w:color w:val="000000"/>
              </w:rPr>
              <w:t>(</w:t>
            </w:r>
            <w:r>
              <w:rPr>
                <w:sz w:val="24"/>
                <w:color w:val="000000"/>
              </w:rPr>
              <w:t>八)中标人的服务人员不得参与采购人涉密工作、会议、活动，不得以任何形式接触、知悉工作涉密内容。</w:t>
            </w:r>
          </w:p>
        </w:tc>
      </w:tr>
      <w:tr>
        <w:tc>
          <w:tcPr>
            <w:tcW w:type="dxa" w:w="2076"/>
          </w:tcPr>
          <w:p/>
        </w:tc>
        <w:tc>
          <w:tcPr>
            <w:tcW w:type="dxa" w:w="415"/>
          </w:tcPr>
          <w:p>
            <w:pPr>
              <w:pStyle w:val="null3"/>
            </w:pPr>
            <w:r>
              <w:rPr/>
              <w:t>35</w:t>
            </w:r>
          </w:p>
        </w:tc>
        <w:tc>
          <w:tcPr>
            <w:tcW w:type="dxa" w:w="5814"/>
          </w:tcPr>
          <w:p>
            <w:pPr>
              <w:pStyle w:val="null3"/>
              <w:ind w:firstLine="482"/>
              <w:jc w:val="left"/>
            </w:pPr>
            <w:r>
              <w:rPr>
                <w:sz w:val="24"/>
                <w:color w:val="000000"/>
              </w:rPr>
              <w:t>(</w:t>
            </w:r>
            <w:r>
              <w:rPr>
                <w:sz w:val="24"/>
                <w:color w:val="000000"/>
              </w:rPr>
              <w:t>九)中标人的服务人员在工作过程中不得擅自查看采购人办公场所内的有关文件、资料。</w:t>
            </w:r>
          </w:p>
        </w:tc>
      </w:tr>
      <w:tr>
        <w:tc>
          <w:tcPr>
            <w:tcW w:type="dxa" w:w="2076"/>
          </w:tcPr>
          <w:p/>
        </w:tc>
        <w:tc>
          <w:tcPr>
            <w:tcW w:type="dxa" w:w="415"/>
          </w:tcPr>
          <w:p>
            <w:pPr>
              <w:pStyle w:val="null3"/>
            </w:pPr>
            <w:r>
              <w:rPr/>
              <w:t>36</w:t>
            </w:r>
          </w:p>
        </w:tc>
        <w:tc>
          <w:tcPr>
            <w:tcW w:type="dxa" w:w="5814"/>
          </w:tcPr>
          <w:p>
            <w:pPr>
              <w:pStyle w:val="null3"/>
              <w:ind w:firstLine="482"/>
              <w:jc w:val="left"/>
            </w:pPr>
            <w:r>
              <w:rPr>
                <w:sz w:val="24"/>
                <w:color w:val="000000"/>
              </w:rPr>
              <w:t>(</w:t>
            </w:r>
            <w:r>
              <w:rPr>
                <w:sz w:val="24"/>
                <w:color w:val="000000"/>
              </w:rPr>
              <w:t>十)中标人的服务人员进入委托人办公场所不得进行录音、录像，经采购人允许进入保密要害部门，不得携带手机。</w:t>
            </w:r>
          </w:p>
        </w:tc>
      </w:tr>
      <w:tr>
        <w:tc>
          <w:tcPr>
            <w:tcW w:type="dxa" w:w="2076"/>
          </w:tcPr>
          <w:p/>
        </w:tc>
        <w:tc>
          <w:tcPr>
            <w:tcW w:type="dxa" w:w="415"/>
          </w:tcPr>
          <w:p>
            <w:pPr>
              <w:pStyle w:val="null3"/>
            </w:pPr>
            <w:r>
              <w:rPr/>
              <w:t>37</w:t>
            </w:r>
          </w:p>
        </w:tc>
        <w:tc>
          <w:tcPr>
            <w:tcW w:type="dxa" w:w="5814"/>
          </w:tcPr>
          <w:p>
            <w:pPr>
              <w:pStyle w:val="null3"/>
              <w:ind w:firstLine="482"/>
              <w:jc w:val="left"/>
            </w:pPr>
            <w:r>
              <w:rPr>
                <w:sz w:val="24"/>
                <w:color w:val="000000"/>
              </w:rPr>
              <w:t>(</w:t>
            </w:r>
            <w:r>
              <w:rPr>
                <w:sz w:val="24"/>
                <w:color w:val="000000"/>
              </w:rPr>
              <w:t>十一)中标人应当针对服务保密管理工作进行自查整改，每半年至少开展一次。</w:t>
            </w:r>
          </w:p>
        </w:tc>
      </w:tr>
      <w:tr>
        <w:tc>
          <w:tcPr>
            <w:tcW w:type="dxa" w:w="2076"/>
          </w:tcPr>
          <w:p/>
        </w:tc>
        <w:tc>
          <w:tcPr>
            <w:tcW w:type="dxa" w:w="415"/>
          </w:tcPr>
          <w:p>
            <w:pPr>
              <w:pStyle w:val="null3"/>
            </w:pPr>
            <w:r>
              <w:rPr/>
              <w:t>38</w:t>
            </w:r>
          </w:p>
        </w:tc>
        <w:tc>
          <w:tcPr>
            <w:tcW w:type="dxa" w:w="5814"/>
          </w:tcPr>
          <w:p>
            <w:pPr>
              <w:pStyle w:val="null3"/>
              <w:ind w:firstLine="482"/>
              <w:jc w:val="left"/>
            </w:pPr>
            <w:r>
              <w:rPr>
                <w:sz w:val="24"/>
                <w:color w:val="000000"/>
              </w:rPr>
              <w:t>(</w:t>
            </w:r>
            <w:r>
              <w:rPr>
                <w:sz w:val="24"/>
                <w:color w:val="000000"/>
              </w:rPr>
              <w:t>十二)采购人对中标人实施保密检查时，中标人应当积极配合，提供有关材料。</w:t>
            </w:r>
          </w:p>
        </w:tc>
      </w:tr>
      <w:tr>
        <w:tc>
          <w:tcPr>
            <w:tcW w:type="dxa" w:w="2076"/>
          </w:tcPr>
          <w:p>
            <w:pPr>
              <w:pStyle w:val="null3"/>
            </w:pPr>
            <w:r>
              <w:rPr/>
              <w:t>★</w:t>
            </w:r>
          </w:p>
        </w:tc>
        <w:tc>
          <w:tcPr>
            <w:tcW w:type="dxa" w:w="415"/>
          </w:tcPr>
          <w:p>
            <w:pPr>
              <w:pStyle w:val="null3"/>
            </w:pPr>
            <w:r>
              <w:rPr/>
              <w:t>39</w:t>
            </w:r>
          </w:p>
        </w:tc>
        <w:tc>
          <w:tcPr>
            <w:tcW w:type="dxa" w:w="5814"/>
          </w:tcPr>
          <w:p>
            <w:pPr>
              <w:pStyle w:val="null3"/>
              <w:jc w:val="both"/>
            </w:pPr>
            <w:r>
              <w:rPr>
                <w:sz w:val="24"/>
                <w:b/>
                <w:color w:val="000000"/>
              </w:rPr>
              <w:t>五、最高限价及报价要求：</w:t>
            </w:r>
          </w:p>
          <w:p>
            <w:pPr>
              <w:pStyle w:val="null3"/>
              <w:ind w:firstLine="482"/>
              <w:jc w:val="left"/>
            </w:pPr>
            <w:r>
              <w:rPr>
                <w:sz w:val="24"/>
              </w:rPr>
              <w:t>★</w:t>
            </w:r>
            <w:r>
              <w:rPr>
                <w:sz w:val="24"/>
                <w:color w:val="000000"/>
              </w:rPr>
              <w:t>(一)本项目最高限价为4,510,000.00元，凡超出最高限价的，一律视为无效投标。</w:t>
            </w:r>
          </w:p>
        </w:tc>
      </w:tr>
      <w:tr>
        <w:tc>
          <w:tcPr>
            <w:tcW w:type="dxa" w:w="2076"/>
          </w:tcPr>
          <w:p/>
        </w:tc>
        <w:tc>
          <w:tcPr>
            <w:tcW w:type="dxa" w:w="415"/>
          </w:tcPr>
          <w:p>
            <w:pPr>
              <w:pStyle w:val="null3"/>
            </w:pPr>
            <w:r>
              <w:rPr/>
              <w:t>40</w:t>
            </w:r>
          </w:p>
        </w:tc>
        <w:tc>
          <w:tcPr>
            <w:tcW w:type="dxa" w:w="5814"/>
          </w:tcPr>
          <w:p>
            <w:pPr>
              <w:pStyle w:val="null3"/>
              <w:ind w:firstLine="482"/>
              <w:jc w:val="left"/>
            </w:pPr>
            <w:r>
              <w:rPr>
                <w:sz w:val="24"/>
                <w:color w:val="000000"/>
              </w:rPr>
              <w:t>(二)本项目投标人的报价应包括：服务期限内所需的一切费用，包括人员管理、人员工资、人员社会保险、人员住房公积金、绩效奖金、人员培训等所有费用。如果投标人在中标并签署合同后，或在管理期限内出现的任何遗漏，均由中标人负责，采购人不再支付任何费用。投标人应充分了解本项目的实际及任何其它足以影响投标报价的情况，充分考虑到投标报价的风险。</w:t>
            </w:r>
          </w:p>
        </w:tc>
      </w:tr>
      <w:tr>
        <w:tc>
          <w:tcPr>
            <w:tcW w:type="dxa" w:w="2076"/>
          </w:tcPr>
          <w:p/>
        </w:tc>
        <w:tc>
          <w:tcPr>
            <w:tcW w:type="dxa" w:w="415"/>
          </w:tcPr>
          <w:p>
            <w:pPr>
              <w:pStyle w:val="null3"/>
            </w:pPr>
            <w:r>
              <w:rPr/>
              <w:t>41</w:t>
            </w:r>
          </w:p>
        </w:tc>
        <w:tc>
          <w:tcPr>
            <w:tcW w:type="dxa" w:w="5814"/>
          </w:tcPr>
          <w:p>
            <w:pPr>
              <w:pStyle w:val="null3"/>
              <w:jc w:val="both"/>
            </w:pPr>
            <w:r>
              <w:rPr>
                <w:sz w:val="24"/>
                <w:b/>
                <w:color w:val="000000"/>
              </w:rPr>
              <w:t>六、考核标准</w:t>
            </w:r>
          </w:p>
          <w:p>
            <w:pPr>
              <w:pStyle w:val="null3"/>
              <w:ind w:firstLine="425"/>
              <w:jc w:val="both"/>
            </w:pPr>
            <w:r>
              <w:rPr>
                <w:sz w:val="24"/>
                <w:color w:val="000000"/>
              </w:rPr>
              <w:t>(</w:t>
            </w:r>
            <w:r>
              <w:rPr>
                <w:sz w:val="24"/>
                <w:color w:val="000000"/>
              </w:rPr>
              <w:t>一)根据服务内容、标准及细化的考核办法，每月考评，满分100分，不符合按每项评分标准扣分；低于60分的，考核为不合格；具体考核标准如下：</w:t>
            </w:r>
          </w:p>
          <w:tbl>
            <w:tblPr>
              <w:tblBorders>
                <w:top w:val="none" w:color="000000" w:sz="4"/>
                <w:left w:val="none" w:color="000000" w:sz="4"/>
                <w:bottom w:val="none" w:color="000000" w:sz="4"/>
                <w:right w:val="none" w:color="000000" w:sz="4"/>
                <w:insideH w:val="none"/>
                <w:insideV w:val="none"/>
              </w:tblBorders>
            </w:tblPr>
            <w:tblGrid>
              <w:gridCol w:w="352"/>
              <w:gridCol w:w="345"/>
              <w:gridCol w:w="768"/>
              <w:gridCol w:w="268"/>
              <w:gridCol w:w="1389"/>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考核类别</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考核内容</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考核标准</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总分</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评分标准</w:t>
                  </w:r>
                </w:p>
              </w:tc>
            </w:tr>
            <w:tr>
              <w:tc>
                <w:tcPr>
                  <w:tcW w:type="dxa" w:w="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综合管理(60分)</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人员到岗情况</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能按文件要求配齐上岗人员，无缺岗现象。</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
                    <w:jc w:val="left"/>
                  </w:pPr>
                  <w:r>
                    <w:rPr>
                      <w:sz w:val="24"/>
                      <w:color w:val="000000"/>
                    </w:rPr>
                    <w:t>能按最低人员要求配齐上岗 人员的可得20分；发现缺岗1人的扣1分；缺2人的扣3 分；缺3人及以上的本项不得分。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保密责任</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能遵守相关保密法规，按采购人要求做好保密工作，切实做到“三不”。</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
                    <w:jc w:val="left"/>
                  </w:pPr>
                  <w:r>
                    <w:rPr>
                      <w:sz w:val="24"/>
                      <w:color w:val="000000"/>
                    </w:rPr>
                    <w:t>能遵守相关保密法规，按采购人要求做好保密工作，切实做到“三不”的可得20分；否则不得分。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工作数据</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3"/>
                    <w:jc w:val="center"/>
                  </w:pPr>
                  <w:r>
                    <w:rPr>
                      <w:sz w:val="24"/>
                      <w:color w:val="000000"/>
                    </w:rPr>
                    <w:t>日常表单：每月汇总提供各项日常工作表单，供监管部门检查。</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不能提供的扣1分，数据明显错或缺失的每项扣1分。</w:t>
                  </w:r>
                </w:p>
              </w:tc>
            </w:tr>
            <w:tr>
              <w:tc>
                <w:tcPr>
                  <w:tcW w:type="dxa" w:w="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人员管理 (40分)</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仪容仪表</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遵守采购人相关规章制度，保持良好个人形象，服装整洁、得体，佩戴工作卡，工作卡清洁、信息清晰，文明用语，礼貌待人。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每发现一项不合格，扣0.5分。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工作纪律及进驻人员更新报备</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r>
                    <w:rPr>
                      <w:sz w:val="24"/>
                      <w:color w:val="000000"/>
                    </w:rPr>
                    <w:t>、准时上下班，上班 期间擅离职守、串岗聊天；严禁工作时间玩手机上网聊天、看电影或小说、玩游戏等从事与工作无关的事情；在大厦内严禁吸烟、聚集赌博、饮酒或酒后滋事。</w:t>
                  </w:r>
                </w:p>
                <w:p>
                  <w:pPr>
                    <w:pStyle w:val="null3"/>
                    <w:ind w:firstLine="6"/>
                    <w:jc w:val="center"/>
                  </w:pPr>
                  <w:r>
                    <w:rPr>
                      <w:sz w:val="24"/>
                      <w:color w:val="000000"/>
                    </w:rPr>
                    <w:t>2</w:t>
                  </w:r>
                  <w:r>
                    <w:rPr>
                      <w:sz w:val="24"/>
                      <w:color w:val="000000"/>
                    </w:rPr>
                    <w:t>、进驻人员信息定期 更新、上岗资格及考勤应向采购人及时备案。</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、未按时上下班，每月每人3次迟到或早退以内提醒，3次以上每次扣0.5分/人；</w:t>
                  </w:r>
                </w:p>
                <w:p>
                  <w:pPr>
                    <w:pStyle w:val="null3"/>
                    <w:ind w:firstLine="1"/>
                    <w:jc w:val="left"/>
                  </w:pPr>
                  <w:r>
                    <w:rPr>
                      <w:sz w:val="24"/>
                      <w:color w:val="000000"/>
                    </w:rPr>
                    <w:t>2</w:t>
                  </w:r>
                  <w:r>
                    <w:rPr>
                      <w:sz w:val="24"/>
                      <w:color w:val="000000"/>
                    </w:rPr>
                    <w:t>、擅离职守、串岗聊天每次扣0.5分/人；</w:t>
                  </w:r>
                </w:p>
                <w:p>
                  <w:pPr>
                    <w:pStyle w:val="null3"/>
                    <w:ind w:firstLine="6"/>
                    <w:jc w:val="left"/>
                  </w:pPr>
                  <w:r>
                    <w:rPr>
                      <w:sz w:val="24"/>
                      <w:color w:val="000000"/>
                    </w:rPr>
                    <w:t>3</w:t>
                  </w:r>
                  <w:r>
                    <w:rPr>
                      <w:sz w:val="24"/>
                      <w:color w:val="000000"/>
                    </w:rPr>
                    <w:t>、上班做与工作无关的事 (如严禁利用电脑、手机及其他电子通信设备从事上网聊天、购物、浏览非法网站、玩游戏、看电影等) 每次扣1分/人；</w:t>
                  </w:r>
                </w:p>
                <w:p>
                  <w:pPr>
                    <w:pStyle w:val="null3"/>
                    <w:ind w:firstLine="1"/>
                    <w:jc w:val="left"/>
                  </w:pPr>
                  <w:r>
                    <w:rPr>
                      <w:sz w:val="24"/>
                      <w:color w:val="000000"/>
                    </w:rPr>
                    <w:t>4</w:t>
                  </w:r>
                  <w:r>
                    <w:rPr>
                      <w:sz w:val="24"/>
                      <w:color w:val="000000"/>
                    </w:rPr>
                    <w:t>、发现员工考勤数据不全 、漏洞及弄虚作假等情况，每次扣1分/次/人。</w:t>
                  </w:r>
                </w:p>
              </w:tc>
            </w:tr>
            <w:tr>
              <w:tc>
                <w:tcPr>
                  <w:tcW w:type="dxa" w:w="146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合计：</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42</w:t>
            </w:r>
          </w:p>
        </w:tc>
        <w:tc>
          <w:tcPr>
            <w:tcW w:type="dxa" w:w="5814"/>
          </w:tcPr>
          <w:p>
            <w:pPr>
              <w:pStyle w:val="null3"/>
              <w:ind w:firstLine="482"/>
              <w:jc w:val="left"/>
            </w:pPr>
            <w:r>
              <w:rPr>
                <w:sz w:val="24"/>
                <w:color w:val="000000"/>
              </w:rPr>
              <w:t>(</w:t>
            </w:r>
            <w:r>
              <w:rPr>
                <w:sz w:val="24"/>
                <w:color w:val="000000"/>
              </w:rPr>
              <w:t>二)考核结果及支付方式：</w:t>
            </w:r>
          </w:p>
          <w:p>
            <w:pPr>
              <w:pStyle w:val="null3"/>
              <w:ind w:firstLine="482"/>
              <w:jc w:val="left"/>
            </w:pPr>
            <w:r>
              <w:rPr>
                <w:sz w:val="24"/>
                <w:color w:val="000000"/>
              </w:rPr>
              <w:t>根据总体考核标准，每月进行一次考核，并以考核结果按以下支付服务费：</w:t>
            </w:r>
          </w:p>
          <w:p>
            <w:pPr>
              <w:pStyle w:val="null3"/>
              <w:ind w:firstLine="482"/>
              <w:jc w:val="left"/>
            </w:pPr>
            <w:r>
              <w:rPr>
                <w:sz w:val="24"/>
                <w:color w:val="000000"/>
              </w:rPr>
              <w:t>1.</w:t>
            </w:r>
            <w:r>
              <w:rPr>
                <w:sz w:val="24"/>
                <w:color w:val="000000"/>
              </w:rPr>
              <w:t>月度考评达标 [80- 100分 (含80分) ] 不扣罚。</w:t>
            </w:r>
          </w:p>
          <w:p>
            <w:pPr>
              <w:pStyle w:val="null3"/>
              <w:ind w:firstLine="482"/>
              <w:jc w:val="left"/>
            </w:pPr>
            <w:r>
              <w:rPr>
                <w:sz w:val="24"/>
                <w:color w:val="000000"/>
              </w:rPr>
              <w:t>2.</w:t>
            </w:r>
            <w:r>
              <w:rPr>
                <w:sz w:val="24"/>
                <w:color w:val="000000"/>
              </w:rPr>
              <w:t>月度考评不达标[75分以上 (含75分) ，80分以下 (不含80分) ] ，扣除当月服务费总额1%。</w:t>
            </w:r>
          </w:p>
          <w:p>
            <w:pPr>
              <w:pStyle w:val="null3"/>
              <w:ind w:firstLine="482"/>
              <w:jc w:val="left"/>
            </w:pPr>
            <w:r>
              <w:rPr>
                <w:sz w:val="24"/>
                <w:color w:val="000000"/>
              </w:rPr>
              <w:t>3.</w:t>
            </w:r>
            <w:r>
              <w:rPr>
                <w:sz w:val="24"/>
                <w:color w:val="000000"/>
              </w:rPr>
              <w:t>月度考评不达标[70分以上 (含70分) ，75分以下 (不含75分) ] ，扣除当月服务费总额3%。</w:t>
            </w:r>
          </w:p>
          <w:p>
            <w:pPr>
              <w:pStyle w:val="null3"/>
              <w:ind w:firstLine="482"/>
              <w:jc w:val="left"/>
            </w:pPr>
            <w:r>
              <w:rPr>
                <w:sz w:val="24"/>
                <w:color w:val="000000"/>
              </w:rPr>
              <w:t>4.</w:t>
            </w:r>
            <w:r>
              <w:rPr>
                <w:sz w:val="24"/>
                <w:color w:val="000000"/>
              </w:rPr>
              <w:t>月度考评不达标[65分以上 (含65分) ，70分以下 (不含70分) ] ，扣除当月服务费总额5%。</w:t>
            </w:r>
          </w:p>
          <w:p>
            <w:pPr>
              <w:pStyle w:val="null3"/>
              <w:ind w:firstLine="482"/>
              <w:jc w:val="left"/>
            </w:pPr>
            <w:r>
              <w:rPr>
                <w:sz w:val="24"/>
                <w:color w:val="000000"/>
              </w:rPr>
              <w:t>5.</w:t>
            </w:r>
            <w:r>
              <w:rPr>
                <w:sz w:val="24"/>
                <w:color w:val="000000"/>
              </w:rPr>
              <w:t>月度考评不达标[60分以上 (含60分) ，65分以下 (不含65分) ] ，扣除当月服务费总额7%。</w:t>
            </w:r>
          </w:p>
          <w:p>
            <w:pPr>
              <w:pStyle w:val="null3"/>
              <w:ind w:firstLine="482"/>
              <w:jc w:val="left"/>
            </w:pPr>
            <w:r>
              <w:rPr>
                <w:sz w:val="24"/>
                <w:color w:val="000000"/>
              </w:rPr>
              <w:t>6.</w:t>
            </w:r>
            <w:r>
              <w:rPr>
                <w:sz w:val="24"/>
                <w:color w:val="000000"/>
              </w:rPr>
              <w:t>月度考评不达标[60分以下 (不含60分) ] ，扣除当月服务费总额10%。</w:t>
            </w:r>
          </w:p>
          <w:p>
            <w:pPr>
              <w:pStyle w:val="null3"/>
              <w:ind w:firstLine="482"/>
              <w:jc w:val="left"/>
            </w:pPr>
            <w:r>
              <w:rPr>
                <w:sz w:val="24"/>
                <w:color w:val="000000"/>
              </w:rPr>
              <w:t>7.</w:t>
            </w:r>
            <w:r>
              <w:rPr>
                <w:sz w:val="24"/>
                <w:color w:val="000000"/>
              </w:rPr>
              <w:t>连续2个月考核结果均为不合格或一年内低于60分的次数累计达到5次的，采购人有权取消其服务资格，解除合同。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广州市花都区人民政府花城街道办事处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人须向采购代理机构交纳的招标服务费，参考国家计委颁布的《招标代理服务收费管理暂行办法》（计价格【2002】1980号文）标准执行，本项目的招标服务费执行以下价格： （1）招标服务费不在投标报价中单列； （2）预算金额在100万以下的，招标服务费按1.5%计算；101万到500万的，按0.8%计算…… （3）招标服务费币种与《中标通知书》的币种相同； （4）中标人在领取《中标通知书》时，必须按《采购代理服务费支付承诺书》向采购代理机构直接交纳招标服务费。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城街道办事处综合事务社会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总体服务方案1 (1.0分)</w:t>
            </w:r>
          </w:p>
        </w:tc>
        <w:tc>
          <w:tcPr>
            <w:tcW w:type="dxa" w:w="5076"/>
          </w:tcPr>
          <w:p>
            <w:pPr>
              <w:pStyle w:val="null3"/>
              <w:jc w:val="left"/>
            </w:pPr>
            <w:r>
              <w:rPr/>
              <w:t>根据投标人对项目的总体服务方案进行评审：内容包括：①执行计划；②管理模式与配套措施；③机构设置；④人员到位时间，4项内容，得1分。如未能提供的，本项及“总体服务方案2”评分项均不得分。</w:t>
            </w:r>
          </w:p>
        </w:tc>
      </w:tr>
      <w:tr>
        <w:tc>
          <w:tcPr>
            <w:tcW w:type="dxa" w:w="922"/>
            <w:gridSpan w:val="2"/>
            <w:vMerge/>
          </w:tcPr>
          <w:p/>
        </w:tc>
        <w:tc>
          <w:tcPr>
            <w:tcW w:type="dxa" w:w="2307"/>
          </w:tcPr>
          <w:p>
            <w:pPr>
              <w:pStyle w:val="null3"/>
              <w:jc w:val="left"/>
            </w:pPr>
            <w:r>
              <w:rPr/>
              <w:t>总体服务方案2 (10.0分)</w:t>
            </w:r>
            <w:r>
              <w:rPr/>
              <w:t>，（等次分值选择：</w:t>
            </w:r>
            <w:r>
              <w:rPr/>
              <w:t>0.0;</w:t>
            </w:r>
            <w:r>
              <w:rPr/>
              <w:t>3.0;</w:t>
            </w:r>
            <w:r>
              <w:rPr/>
              <w:t>6.0;</w:t>
            </w:r>
            <w:r>
              <w:rPr/>
              <w:t>10.0;</w:t>
            </w:r>
            <w:r>
              <w:rPr/>
              <w:t>）</w:t>
            </w:r>
          </w:p>
        </w:tc>
        <w:tc>
          <w:tcPr>
            <w:tcW w:type="dxa" w:w="5076"/>
          </w:tcPr>
          <w:p>
            <w:pPr>
              <w:pStyle w:val="null3"/>
              <w:jc w:val="left"/>
            </w:pPr>
            <w:r>
              <w:rPr/>
              <w:t>根据总体服务方案1的内容情况进行评审： （1）总体服务方案完整，执行计划详细，管理模式与配套措施、机构设置、运作流畅、管理方式有利于项目的实施，完全满足且优于采购需求，得10分； （2）总体服务方案完整，执行计划较详细，管理模式与配套措施、机构设置、运作比较流畅、管理方式能确保项目的实施，完全满足采购需求，得6分； （3）总体服务方案不完整，执行计划简单，管理模式与配套措施、机构设置、运作基本流畅、管理方式不能确保项目的实施，部分满足采购需求，得3分； （4）其他或不提供不得分。</w:t>
            </w:r>
          </w:p>
        </w:tc>
      </w:tr>
      <w:tr>
        <w:tc>
          <w:tcPr>
            <w:tcW w:type="dxa" w:w="922"/>
            <w:gridSpan w:val="2"/>
            <w:vMerge/>
          </w:tcPr>
          <w:p/>
        </w:tc>
        <w:tc>
          <w:tcPr>
            <w:tcW w:type="dxa" w:w="2307"/>
          </w:tcPr>
          <w:p>
            <w:pPr>
              <w:pStyle w:val="null3"/>
              <w:jc w:val="left"/>
            </w:pPr>
            <w:r>
              <w:rPr/>
              <w:t>信息化管理手段 (10.0分)</w:t>
            </w:r>
          </w:p>
        </w:tc>
        <w:tc>
          <w:tcPr>
            <w:tcW w:type="dxa" w:w="5076"/>
          </w:tcPr>
          <w:p>
            <w:pPr>
              <w:pStyle w:val="null3"/>
              <w:jc w:val="left"/>
            </w:pPr>
            <w:r>
              <w:rPr/>
              <w:t>投标人能在服务过程中融入信息化管理手段，为项目提供高效优质的综合行政服务且能提供： ①培训管理系统、②薪资档案管理系统、③人员健康信息登记系统、④客户投诉管理软件、⑤人员信息档案管理系统等的，每具有一项得2分，最高得10分。 注：提供相关证明材料，否则不得分。</w:t>
            </w:r>
          </w:p>
        </w:tc>
      </w:tr>
      <w:tr>
        <w:tc>
          <w:tcPr>
            <w:tcW w:type="dxa" w:w="922"/>
            <w:gridSpan w:val="2"/>
            <w:vMerge/>
          </w:tcPr>
          <w:p/>
        </w:tc>
        <w:tc>
          <w:tcPr>
            <w:tcW w:type="dxa" w:w="2307"/>
          </w:tcPr>
          <w:p>
            <w:pPr>
              <w:pStyle w:val="null3"/>
              <w:jc w:val="left"/>
            </w:pPr>
            <w:r>
              <w:rPr/>
              <w:t>企业管理制度1 (1.0分)</w:t>
            </w:r>
          </w:p>
        </w:tc>
        <w:tc>
          <w:tcPr>
            <w:tcW w:type="dxa" w:w="5076"/>
          </w:tcPr>
          <w:p>
            <w:pPr>
              <w:pStyle w:val="null3"/>
              <w:jc w:val="left"/>
            </w:pPr>
            <w:r>
              <w:rPr/>
              <w:t>根据投标人提供的企业管理制度进行评审：内容包括：①企业服务理念、②规范及标准、③管理制度总体服务方案，3项内容，得1分。如未能提供的，本项及“企业管理制度2”评分项均不得分。</w:t>
            </w:r>
          </w:p>
        </w:tc>
      </w:tr>
      <w:tr>
        <w:tc>
          <w:tcPr>
            <w:tcW w:type="dxa" w:w="922"/>
            <w:gridSpan w:val="2"/>
            <w:vMerge/>
          </w:tcPr>
          <w:p/>
        </w:tc>
        <w:tc>
          <w:tcPr>
            <w:tcW w:type="dxa" w:w="2307"/>
          </w:tcPr>
          <w:p>
            <w:pPr>
              <w:pStyle w:val="null3"/>
              <w:jc w:val="left"/>
            </w:pPr>
            <w:r>
              <w:rPr/>
              <w:t>企业管理制度2 (8.0分)</w:t>
            </w:r>
            <w:r>
              <w:rPr/>
              <w:t>，（等次分值选择：</w:t>
            </w:r>
            <w:r>
              <w:rPr/>
              <w:t>0.0;</w:t>
            </w:r>
            <w:r>
              <w:rPr/>
              <w:t>3.0;</w:t>
            </w:r>
            <w:r>
              <w:rPr/>
              <w:t>5.0;</w:t>
            </w:r>
            <w:r>
              <w:rPr/>
              <w:t>8.0;</w:t>
            </w:r>
            <w:r>
              <w:rPr/>
              <w:t>）</w:t>
            </w:r>
          </w:p>
        </w:tc>
        <w:tc>
          <w:tcPr>
            <w:tcW w:type="dxa" w:w="5076"/>
          </w:tcPr>
          <w:p>
            <w:pPr>
              <w:pStyle w:val="null3"/>
              <w:jc w:val="left"/>
            </w:pPr>
            <w:r>
              <w:rPr/>
              <w:t>根据企业管理制度1的内容情况进行评审： （1）企业具有齐备完善的企业服务理念、规范及标准，管理制度、管理服务运作流程合理，服务管理各项质量指标明确具体，切合项目实际，得8分； （2）企业服务理念、规范及标准较完善，管理制度、管理服务运作流程基本合理，服务管理各项质量指标较明确，得5分； （3）企业服务理念、规范及标准不完善，管理制度、管理服务运作流程不合理，服务管理各项质量指标不够明确，得3分； （4）其他或未提供不得分。</w:t>
            </w:r>
          </w:p>
        </w:tc>
      </w:tr>
      <w:tr>
        <w:tc>
          <w:tcPr>
            <w:tcW w:type="dxa" w:w="922"/>
            <w:gridSpan w:val="2"/>
            <w:vMerge/>
          </w:tcPr>
          <w:p/>
        </w:tc>
        <w:tc>
          <w:tcPr>
            <w:tcW w:type="dxa" w:w="2307"/>
          </w:tcPr>
          <w:p>
            <w:pPr>
              <w:pStyle w:val="null3"/>
              <w:jc w:val="left"/>
            </w:pPr>
            <w:r>
              <w:rPr/>
              <w:t>安全保密措施1 (1.0分)</w:t>
            </w:r>
          </w:p>
        </w:tc>
        <w:tc>
          <w:tcPr>
            <w:tcW w:type="dxa" w:w="5076"/>
          </w:tcPr>
          <w:p>
            <w:pPr>
              <w:pStyle w:val="null3"/>
              <w:jc w:val="left"/>
            </w:pPr>
            <w:r>
              <w:rPr/>
              <w:t>根据投标人提供的安全保密措施进行评审：内容包括：①保密计划实施规范、②安全保密机制、③确保涉密信息的安全且不泄露、④对人员违反协议的处罚制度，4项内容，得1分。如未能提供的，本项及“安全保密措施2”评分项均不得分。</w:t>
            </w:r>
          </w:p>
        </w:tc>
      </w:tr>
      <w:tr>
        <w:tc>
          <w:tcPr>
            <w:tcW w:type="dxa" w:w="922"/>
            <w:gridSpan w:val="2"/>
            <w:vMerge/>
          </w:tcPr>
          <w:p/>
        </w:tc>
        <w:tc>
          <w:tcPr>
            <w:tcW w:type="dxa" w:w="2307"/>
          </w:tcPr>
          <w:p>
            <w:pPr>
              <w:pStyle w:val="null3"/>
              <w:jc w:val="left"/>
            </w:pPr>
            <w:r>
              <w:rPr/>
              <w:t>安全保密措施2 (8.0分)</w:t>
            </w:r>
            <w:r>
              <w:rPr/>
              <w:t>，（等次分值选择：</w:t>
            </w:r>
            <w:r>
              <w:rPr/>
              <w:t>0.0;</w:t>
            </w:r>
            <w:r>
              <w:rPr/>
              <w:t>3.0;</w:t>
            </w:r>
            <w:r>
              <w:rPr/>
              <w:t>5.0;</w:t>
            </w:r>
            <w:r>
              <w:rPr/>
              <w:t>8.0;</w:t>
            </w:r>
            <w:r>
              <w:rPr/>
              <w:t>）</w:t>
            </w:r>
          </w:p>
        </w:tc>
        <w:tc>
          <w:tcPr>
            <w:tcW w:type="dxa" w:w="5076"/>
          </w:tcPr>
          <w:p>
            <w:pPr>
              <w:pStyle w:val="null3"/>
              <w:jc w:val="left"/>
            </w:pPr>
            <w:r>
              <w:rPr/>
              <w:t>根据投标人提供的安全保密措施1情况进行评审： （1）安全保密措施完整，整体措施有利于项目的实施，完全满足且优于采购需求，得8分； （2）安全保密措施完整，整体措施能确保项目的实施，完全满足采购需求，得5分； （3）安全保密措施不完整，整体措施不能确保项目的实施，部分满足采购需求，得3分； （4）其他或不提供不得分。</w:t>
            </w:r>
          </w:p>
        </w:tc>
      </w:tr>
      <w:tr>
        <w:tc>
          <w:tcPr>
            <w:tcW w:type="dxa" w:w="922"/>
            <w:gridSpan w:val="2"/>
            <w:vMerge/>
          </w:tcPr>
          <w:p/>
        </w:tc>
        <w:tc>
          <w:tcPr>
            <w:tcW w:type="dxa" w:w="2307"/>
          </w:tcPr>
          <w:p>
            <w:pPr>
              <w:pStyle w:val="null3"/>
              <w:jc w:val="left"/>
            </w:pPr>
            <w:r>
              <w:rPr/>
              <w:t>人员培训管理方案1 (1.0分)</w:t>
            </w:r>
          </w:p>
        </w:tc>
        <w:tc>
          <w:tcPr>
            <w:tcW w:type="dxa" w:w="5076"/>
          </w:tcPr>
          <w:p>
            <w:pPr>
              <w:pStyle w:val="null3"/>
              <w:jc w:val="left"/>
            </w:pPr>
            <w:r>
              <w:rPr/>
              <w:t>根据投标人提供的人员培训管理方案进行评审：内容包括：①培训内容、②培训时间、③培训进度、④培训课程的安排，4项内容，得1分。如未能提供的，本项及“人员培训管理方案2”评分项均不得分。</w:t>
            </w:r>
          </w:p>
        </w:tc>
      </w:tr>
      <w:tr>
        <w:tc>
          <w:tcPr>
            <w:tcW w:type="dxa" w:w="922"/>
            <w:gridSpan w:val="2"/>
            <w:vMerge/>
          </w:tcPr>
          <w:p/>
        </w:tc>
        <w:tc>
          <w:tcPr>
            <w:tcW w:type="dxa" w:w="2307"/>
          </w:tcPr>
          <w:p>
            <w:pPr>
              <w:pStyle w:val="null3"/>
              <w:jc w:val="left"/>
            </w:pPr>
            <w:r>
              <w:rPr/>
              <w:t>人员培训管理方案2 (8.0分)</w:t>
            </w:r>
            <w:r>
              <w:rPr/>
              <w:t>，（等次分值选择：</w:t>
            </w:r>
            <w:r>
              <w:rPr/>
              <w:t>0.0;</w:t>
            </w:r>
            <w:r>
              <w:rPr/>
              <w:t>3.0;</w:t>
            </w:r>
            <w:r>
              <w:rPr/>
              <w:t>5.0;</w:t>
            </w:r>
            <w:r>
              <w:rPr/>
              <w:t>8.0;</w:t>
            </w:r>
            <w:r>
              <w:rPr/>
              <w:t>）</w:t>
            </w:r>
          </w:p>
        </w:tc>
        <w:tc>
          <w:tcPr>
            <w:tcW w:type="dxa" w:w="5076"/>
          </w:tcPr>
          <w:p>
            <w:pPr>
              <w:pStyle w:val="null3"/>
              <w:jc w:val="left"/>
            </w:pPr>
            <w:r>
              <w:rPr/>
              <w:t>根据投标人提供的人员培训管理方案1情况进行评审： （1）人员培训管理方案完整，人员培训管理方案有利于项目的实施，完全满足且优于采购需求，得8分； （2）人员培训管理方案完整，人员培训管理方案能确保项目的实施，完全满足采购需求，得5分； （3）人员培训管理方案不完整，人员培训管理方案不能确保项目的实施，部分满足采购需求，得3分； （4）其他或不提供不得分。</w:t>
            </w:r>
          </w:p>
        </w:tc>
      </w:tr>
      <w:tr>
        <w:tc>
          <w:tcPr>
            <w:tcW w:type="dxa" w:w="922"/>
            <w:gridSpan w:val="2"/>
            <w:vMerge/>
          </w:tcPr>
          <w:p/>
        </w:tc>
        <w:tc>
          <w:tcPr>
            <w:tcW w:type="dxa" w:w="2307"/>
          </w:tcPr>
          <w:p>
            <w:pPr>
              <w:pStyle w:val="null3"/>
              <w:jc w:val="left"/>
            </w:pPr>
            <w:r>
              <w:rPr/>
              <w:t>应急方案1 (1.0分)</w:t>
            </w:r>
          </w:p>
        </w:tc>
        <w:tc>
          <w:tcPr>
            <w:tcW w:type="dxa" w:w="5076"/>
          </w:tcPr>
          <w:p>
            <w:pPr>
              <w:pStyle w:val="null3"/>
              <w:jc w:val="left"/>
            </w:pPr>
            <w:r>
              <w:rPr/>
              <w:t>根据投标人提供的应急方案进行评审：内容包括：①临时突击性工作、②突发事件应急保障措施、③人员补给、调配，3项内容，得1分。如未能提供的，本项及“应急方案2”评分项均不得分。</w:t>
            </w:r>
          </w:p>
        </w:tc>
      </w:tr>
      <w:tr>
        <w:tc>
          <w:tcPr>
            <w:tcW w:type="dxa" w:w="922"/>
            <w:gridSpan w:val="2"/>
            <w:vMerge/>
          </w:tcPr>
          <w:p/>
        </w:tc>
        <w:tc>
          <w:tcPr>
            <w:tcW w:type="dxa" w:w="2307"/>
          </w:tcPr>
          <w:p>
            <w:pPr>
              <w:pStyle w:val="null3"/>
              <w:jc w:val="left"/>
            </w:pPr>
            <w:r>
              <w:rPr/>
              <w:t>应急方案2 (6.0分)</w:t>
            </w:r>
            <w:r>
              <w:rPr/>
              <w:t>，（等次分值选择：</w:t>
            </w:r>
            <w:r>
              <w:rPr/>
              <w:t>0.0;</w:t>
            </w:r>
            <w:r>
              <w:rPr/>
              <w:t>1.0;</w:t>
            </w:r>
            <w:r>
              <w:rPr/>
              <w:t>3.0;</w:t>
            </w:r>
            <w:r>
              <w:rPr/>
              <w:t>6.0;</w:t>
            </w:r>
            <w:r>
              <w:rPr/>
              <w:t>）</w:t>
            </w:r>
          </w:p>
        </w:tc>
        <w:tc>
          <w:tcPr>
            <w:tcW w:type="dxa" w:w="5076"/>
          </w:tcPr>
          <w:p>
            <w:pPr>
              <w:pStyle w:val="null3"/>
              <w:jc w:val="left"/>
            </w:pPr>
            <w:r>
              <w:rPr/>
              <w:t>根据投标人提供的应急方案1情况进行评审： （1）应急方案完整，应急方案有利于项目的实施，完全满足且优于采购需求，得6分； （2）应急方案完整，应急方案能确保项目的实施，完全满足采购需求，得3分； （3）应急方案不完整，应急方案不能确保项目的实施，部分满足采购需求，得1分；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投标人自2021年1月1日以来具有同类项目业绩每个得1分，最高得6分。 注：以合同签订的日期为准，须提供合同复印件，否则不得分。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根据投标人提供的上述有效同类项目业绩中，客户出具的评价证明进行评审，评价情况至少须为“满意或类似好评或90分 (含) 以上”的方可计分，每提供一份得1分，最高得6分，无不得分。 注：1、同一项目提供的多份评价证明只计算一次； 2、提供经客户盖章确认的评价证明复印件作为证明材料，否则无效，证明材料不清晰导致无法辨认的不得分。</w:t>
            </w:r>
          </w:p>
        </w:tc>
      </w:tr>
      <w:tr>
        <w:tc>
          <w:tcPr>
            <w:tcW w:type="dxa" w:w="922"/>
            <w:gridSpan w:val="2"/>
            <w:vMerge/>
          </w:tcPr>
          <w:p/>
        </w:tc>
        <w:tc>
          <w:tcPr>
            <w:tcW w:type="dxa" w:w="2307"/>
          </w:tcPr>
          <w:p>
            <w:pPr>
              <w:pStyle w:val="null3"/>
              <w:jc w:val="left"/>
            </w:pPr>
            <w:r>
              <w:rPr/>
              <w:t>企业信誉 (3.0分)</w:t>
            </w:r>
          </w:p>
        </w:tc>
        <w:tc>
          <w:tcPr>
            <w:tcW w:type="dxa" w:w="5076"/>
          </w:tcPr>
          <w:p>
            <w:pPr>
              <w:pStyle w:val="null3"/>
              <w:jc w:val="left"/>
            </w:pPr>
            <w:r>
              <w:rPr/>
              <w:t>投标人具有政府部门（国家有关职能机构或行政部门）颁发的荣誉或奖项的，每提供一个得1分，最高得3分。 注：须提供有效的证书复印件或网络查询途径并加盖公章，否则无效。</w:t>
            </w:r>
          </w:p>
        </w:tc>
      </w:tr>
      <w:tr>
        <w:tc>
          <w:tcPr>
            <w:tcW w:type="dxa" w:w="922"/>
            <w:gridSpan w:val="2"/>
            <w:vMerge/>
          </w:tcPr>
          <w:p/>
        </w:tc>
        <w:tc>
          <w:tcPr>
            <w:tcW w:type="dxa" w:w="2307"/>
          </w:tcPr>
          <w:p>
            <w:pPr>
              <w:pStyle w:val="null3"/>
              <w:jc w:val="left"/>
            </w:pPr>
            <w:r>
              <w:rPr/>
              <w:t>拟配备项目负责人情况 (6.0分)</w:t>
            </w:r>
          </w:p>
        </w:tc>
        <w:tc>
          <w:tcPr>
            <w:tcW w:type="dxa" w:w="5076"/>
          </w:tcPr>
          <w:p>
            <w:pPr>
              <w:pStyle w:val="null3"/>
              <w:jc w:val="left"/>
            </w:pPr>
            <w:r>
              <w:rPr/>
              <w:t>项目负责人情况： 1、持有人力资源或经济或管理类中级或以上专业技术资格证书的，得3分，无不得分。 2、项目负责人具备5年或以上工作经验的，得3分，无不得分。 注：1、提供相关证书复印件或有效的证明材料，否则无效。 2、提供上述人员在本项目投标截止日之前6个月内任意一个月的《投保单》或《社会保险参保人员证明》，或单位代缴个人所得税税单或劳动合同复印件等，否则无效。 3、工作经验需要提供项目负责人工作累计缴纳社保的证明或其他证明材料，否则无效。</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 (www.creditchina.gov.cn) 网站为查询渠道：对列入行政处罚或失信惩戒的投标人每一条记录扣1分，最高扣4分。如查询结果显示没有相关记录，视为没有上述非重大违法违规记录，则不扣分。以评标委员会于评审时在上述网站查询结果为准，评标委员会应将上述记录查询情况截图存档。注：总公司 (总所) 投标的，只查询总公司 (总所) ；分支机构 (分所) 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采购计划编号：</w:t>
      </w:r>
    </w:p>
    <w:p>
      <w:pPr>
        <w:pStyle w:val="null3"/>
        <w:jc w:val="both"/>
      </w:pPr>
      <w:r>
        <w:rPr/>
        <w:t xml:space="preserve"> </w:t>
      </w:r>
    </w:p>
    <w:p>
      <w:pPr>
        <w:pStyle w:val="null3"/>
        <w:ind w:firstLine="3811"/>
        <w:jc w:val="both"/>
      </w:pPr>
      <w:r>
        <w:rPr/>
        <w:t xml:space="preserve"> </w:t>
      </w:r>
    </w:p>
    <w:p>
      <w:pPr>
        <w:pStyle w:val="null3"/>
        <w:jc w:val="both"/>
      </w:pPr>
      <w:r>
        <w:rPr>
          <w:sz w:val="27"/>
        </w:rPr>
        <w:t>项目编号：GZCQC2401FG04018</w:t>
      </w:r>
    </w:p>
    <w:p>
      <w:pPr>
        <w:pStyle w:val="null3"/>
        <w:jc w:val="both"/>
      </w:pPr>
      <w:r>
        <w:rPr/>
        <w:t xml:space="preserve"> </w:t>
      </w:r>
    </w:p>
    <w:p>
      <w:pPr>
        <w:pStyle w:val="null3"/>
        <w:ind w:firstLine="3811"/>
        <w:jc w:val="both"/>
      </w:pPr>
      <w:r>
        <w:rPr/>
        <w:t xml:space="preserve"> </w:t>
      </w:r>
    </w:p>
    <w:p>
      <w:pPr>
        <w:pStyle w:val="null3"/>
        <w:jc w:val="both"/>
      </w:pPr>
      <w:r>
        <w:rPr>
          <w:sz w:val="27"/>
        </w:rPr>
        <w:t>项目名称：</w:t>
      </w:r>
      <w:r>
        <w:rPr>
          <w:sz w:val="27"/>
          <w:u w:val="single"/>
        </w:rPr>
        <w:t>花城街道办事处综合事务社会化服务项目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甲方（采购人）：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ind w:firstLine="537"/>
        <w:jc w:val="both"/>
      </w:pPr>
      <w:r>
        <w:rPr>
          <w:sz w:val="24"/>
          <w:b/>
        </w:rPr>
        <w:t>乙方（中标人）：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ind w:firstLine="535"/>
        <w:jc w:val="both"/>
      </w:pPr>
      <w:r>
        <w:rPr>
          <w:sz w:val="24"/>
        </w:rPr>
        <w:t>根据《中华人民共和国民法典》及花城街道办事处综合事务社会化服务项目采购文件（采购编号：GZCQC2401FG04018）和乙方投标承诺，双方就甲方采购事项协商一致，订立本合同。</w:t>
      </w:r>
    </w:p>
    <w:p>
      <w:pPr>
        <w:pStyle w:val="null3"/>
        <w:ind w:firstLine="537"/>
        <w:jc w:val="both"/>
      </w:pPr>
      <w:r>
        <w:rPr>
          <w:sz w:val="24"/>
          <w:b/>
        </w:rPr>
        <w:t>一、合同金额</w:t>
      </w:r>
    </w:p>
    <w:p>
      <w:pPr>
        <w:pStyle w:val="null3"/>
        <w:ind w:firstLine="535"/>
        <w:jc w:val="both"/>
      </w:pPr>
      <w:r>
        <w:rPr>
          <w:sz w:val="24"/>
        </w:rPr>
        <w:t>合同金额为(大写)：_________________元(￥_______________元)人民币。</w:t>
      </w:r>
    </w:p>
    <w:p>
      <w:pPr>
        <w:pStyle w:val="null3"/>
        <w:ind w:firstLine="535"/>
        <w:jc w:val="both"/>
      </w:pPr>
      <w:r>
        <w:rPr>
          <w:sz w:val="24"/>
          <w:b/>
        </w:rPr>
        <w:t>二、服务范围</w:t>
      </w:r>
    </w:p>
    <w:p>
      <w:pPr>
        <w:pStyle w:val="null3"/>
        <w:ind w:firstLine="535"/>
        <w:jc w:val="both"/>
      </w:pPr>
      <w:r>
        <w:rPr>
          <w:sz w:val="24"/>
        </w:rPr>
        <w:t>甲方聘请乙方提供以下服务：</w:t>
      </w:r>
    </w:p>
    <w:p>
      <w:pPr>
        <w:pStyle w:val="null3"/>
        <w:ind w:firstLine="535"/>
        <w:jc w:val="both"/>
      </w:pPr>
      <w:r>
        <w:rPr>
          <w:sz w:val="24"/>
        </w:rPr>
        <w:t>1.本合同项下的服务指</w:t>
      </w:r>
      <w:r>
        <w:rPr>
          <w:sz w:val="24"/>
          <w:u w:val="single"/>
        </w:rPr>
        <w:t xml:space="preserve">                     </w:t>
      </w:r>
      <w:r>
        <w:rPr>
          <w:sz w:val="24"/>
        </w:rPr>
        <w:t>。</w:t>
      </w:r>
    </w:p>
    <w:p>
      <w:pPr>
        <w:pStyle w:val="null3"/>
        <w:ind w:firstLine="535"/>
        <w:jc w:val="both"/>
      </w:pPr>
      <w:r>
        <w:rPr>
          <w:sz w:val="24"/>
        </w:rPr>
        <w:t>2.......</w:t>
      </w:r>
    </w:p>
    <w:p>
      <w:pPr>
        <w:pStyle w:val="null3"/>
        <w:ind w:firstLine="535"/>
        <w:jc w:val="both"/>
      </w:pPr>
      <w:r>
        <w:rPr>
          <w:sz w:val="24"/>
        </w:rPr>
        <w:t>3.......</w:t>
      </w:r>
    </w:p>
    <w:p>
      <w:pPr>
        <w:pStyle w:val="null3"/>
        <w:ind w:firstLine="535"/>
        <w:jc w:val="both"/>
      </w:pPr>
      <w:r>
        <w:rPr>
          <w:sz w:val="24"/>
          <w:b/>
        </w:rPr>
        <w:t>三、甲方乙方的权利和义务</w:t>
      </w:r>
    </w:p>
    <w:p>
      <w:pPr>
        <w:pStyle w:val="null3"/>
        <w:ind w:firstLine="535"/>
        <w:jc w:val="both"/>
      </w:pPr>
      <w:r>
        <w:rPr>
          <w:sz w:val="24"/>
        </w:rPr>
        <w:t>(一)甲方的权利和义务</w:t>
      </w:r>
    </w:p>
    <w:p>
      <w:pPr>
        <w:pStyle w:val="null3"/>
        <w:ind w:firstLine="535"/>
        <w:jc w:val="both"/>
      </w:pPr>
      <w:r>
        <w:rPr>
          <w:sz w:val="24"/>
        </w:rPr>
        <w:t>(二)乙方的权利和义务</w:t>
      </w:r>
    </w:p>
    <w:p>
      <w:pPr>
        <w:pStyle w:val="null3"/>
        <w:ind w:firstLine="535"/>
        <w:jc w:val="both"/>
      </w:pPr>
      <w:r>
        <w:rPr>
          <w:sz w:val="24"/>
          <w:b/>
        </w:rPr>
        <w:t>四、服务期间(项目完成期限)</w:t>
      </w:r>
    </w:p>
    <w:p>
      <w:pPr>
        <w:pStyle w:val="null3"/>
        <w:ind w:firstLine="535"/>
        <w:jc w:val="both"/>
      </w:pPr>
      <w:r>
        <w:rPr>
          <w:sz w:val="24"/>
        </w:rPr>
        <w:t>委托服务期间自______年______月至______年______月止。</w:t>
      </w:r>
    </w:p>
    <w:p>
      <w:pPr>
        <w:pStyle w:val="null3"/>
        <w:ind w:firstLine="535"/>
        <w:jc w:val="both"/>
      </w:pPr>
      <w:r>
        <w:rPr>
          <w:sz w:val="24"/>
          <w:b/>
        </w:rPr>
        <w:t>五、付款方式</w:t>
      </w:r>
    </w:p>
    <w:p>
      <w:pPr>
        <w:pStyle w:val="null3"/>
        <w:ind w:firstLine="535"/>
        <w:jc w:val="both"/>
      </w:pPr>
      <w:r>
        <w:rPr>
          <w:sz w:val="24"/>
        </w:rPr>
        <w:t>(一) 服务费按月计算，乙方每月5号前交上月发票，</w:t>
      </w:r>
      <w:r>
        <w:rPr>
          <w:sz w:val="24"/>
        </w:rPr>
        <w:t>甲方</w:t>
      </w:r>
      <w:r>
        <w:rPr>
          <w:sz w:val="24"/>
        </w:rPr>
        <w:t>于每月15日前 (如遇节假日顺延至第一个工作日) 为</w:t>
      </w:r>
      <w:r>
        <w:rPr>
          <w:sz w:val="24"/>
        </w:rPr>
        <w:t>乙方</w:t>
      </w:r>
      <w:r>
        <w:rPr>
          <w:sz w:val="24"/>
        </w:rPr>
        <w:t>办理上月服务费支付手续，</w:t>
      </w:r>
      <w:r>
        <w:rPr>
          <w:sz w:val="24"/>
        </w:rPr>
        <w:t>乙方</w:t>
      </w:r>
      <w:r>
        <w:rPr>
          <w:sz w:val="24"/>
        </w:rPr>
        <w:t>提供服务不足一个月时按日计算，最终支付比例需</w:t>
      </w:r>
      <w:r>
        <w:rPr>
          <w:sz w:val="24"/>
          <w:color w:val="000000"/>
        </w:rPr>
        <w:t>根据每月的考核标准情况进行确认</w:t>
      </w:r>
      <w:r>
        <w:rPr>
          <w:sz w:val="24"/>
        </w:rPr>
        <w:t>。</w:t>
      </w:r>
    </w:p>
    <w:p>
      <w:pPr>
        <w:pStyle w:val="null3"/>
        <w:ind w:firstLine="535"/>
        <w:jc w:val="both"/>
      </w:pPr>
      <w:r>
        <w:rPr>
          <w:sz w:val="24"/>
        </w:rPr>
        <w:t>(二)本项目分月安排预算，首月预付款比例不低于项目年度计划支付资金金额的30% 。预付款应在合同签订生效以及具备实施条件后5个工作日内支付，预付款应在每月服务费中予以抵扣。</w:t>
      </w:r>
    </w:p>
    <w:p>
      <w:pPr>
        <w:pStyle w:val="null3"/>
        <w:ind w:firstLine="535"/>
        <w:jc w:val="both"/>
      </w:pPr>
      <w:r>
        <w:rPr>
          <w:sz w:val="24"/>
        </w:rPr>
        <w:t>(三)</w:t>
      </w:r>
      <w:r>
        <w:rPr>
          <w:sz w:val="24"/>
        </w:rPr>
        <w:t>乙方</w:t>
      </w:r>
      <w:r>
        <w:rPr>
          <w:sz w:val="24"/>
        </w:rPr>
        <w:t>凭以下有效文件与</w:t>
      </w:r>
      <w:r>
        <w:rPr>
          <w:sz w:val="24"/>
        </w:rPr>
        <w:t>甲方</w:t>
      </w:r>
      <w:r>
        <w:rPr>
          <w:sz w:val="24"/>
        </w:rPr>
        <w:t>结算：</w:t>
      </w:r>
    </w:p>
    <w:p>
      <w:pPr>
        <w:pStyle w:val="null3"/>
        <w:ind w:firstLine="535"/>
        <w:jc w:val="both"/>
      </w:pPr>
      <w:r>
        <w:rPr>
          <w:sz w:val="24"/>
        </w:rPr>
        <w:t>(1) 合同；</w:t>
      </w:r>
    </w:p>
    <w:p>
      <w:pPr>
        <w:pStyle w:val="null3"/>
        <w:ind w:firstLine="535"/>
        <w:jc w:val="both"/>
      </w:pPr>
      <w:r>
        <w:rPr>
          <w:sz w:val="24"/>
        </w:rPr>
        <w:t>(2) 乙方开具的正式发票；</w:t>
      </w:r>
    </w:p>
    <w:p>
      <w:pPr>
        <w:pStyle w:val="null3"/>
        <w:ind w:firstLine="535"/>
        <w:jc w:val="both"/>
      </w:pPr>
      <w:r>
        <w:rPr>
          <w:sz w:val="24"/>
        </w:rPr>
        <w:t>(3) 中标通知书。</w:t>
      </w:r>
    </w:p>
    <w:p>
      <w:pPr>
        <w:pStyle w:val="null3"/>
        <w:ind w:firstLine="535"/>
        <w:jc w:val="both"/>
      </w:pPr>
      <w:r>
        <w:rPr>
          <w:sz w:val="24"/>
        </w:rPr>
        <w:t>(四)因</w:t>
      </w:r>
      <w:r>
        <w:rPr>
          <w:sz w:val="24"/>
        </w:rPr>
        <w:t>甲方</w:t>
      </w:r>
      <w:r>
        <w:rPr>
          <w:sz w:val="24"/>
        </w:rPr>
        <w:t>使用的是财政资金，</w:t>
      </w:r>
      <w:r>
        <w:rPr>
          <w:sz w:val="24"/>
        </w:rPr>
        <w:t>甲方</w:t>
      </w:r>
      <w:r>
        <w:rPr>
          <w:sz w:val="24"/>
        </w:rPr>
        <w:t>在前款规定的付款时间为向政府采购支付部门提出办理财政支付申请手续的时间 (不含政府财政支付部门审核的时间) ，在规定时间内提出支付申请手续后即视为</w:t>
      </w:r>
      <w:r>
        <w:rPr>
          <w:sz w:val="24"/>
        </w:rPr>
        <w:t>甲方</w:t>
      </w:r>
      <w:r>
        <w:rPr>
          <w:sz w:val="24"/>
        </w:rPr>
        <w:t>已经按期支付。</w:t>
      </w:r>
    </w:p>
    <w:p>
      <w:pPr>
        <w:pStyle w:val="null3"/>
        <w:ind w:firstLine="535"/>
        <w:jc w:val="both"/>
      </w:pPr>
      <w:r>
        <w:rPr>
          <w:sz w:val="24"/>
          <w:b/>
        </w:rPr>
        <w:t>六、验收要求</w:t>
      </w:r>
    </w:p>
    <w:p>
      <w:pPr>
        <w:pStyle w:val="null3"/>
        <w:ind w:firstLine="535"/>
        <w:jc w:val="both"/>
      </w:pPr>
      <w:r>
        <w:rPr>
          <w:sz w:val="24"/>
        </w:rPr>
        <w:t>（1）由甲方组织验收，以双方签定的合同、招标文件及投标文件为标准，对乙方履约情况进行验收；</w:t>
      </w:r>
    </w:p>
    <w:p>
      <w:pPr>
        <w:pStyle w:val="null3"/>
        <w:ind w:firstLine="535"/>
        <w:jc w:val="both"/>
      </w:pPr>
      <w:r>
        <w:rPr>
          <w:sz w:val="24"/>
        </w:rPr>
        <w:t>（2）服务验收标准：乙方按甲方要求按时按质完成工作任务；</w:t>
      </w:r>
    </w:p>
    <w:p>
      <w:pPr>
        <w:pStyle w:val="null3"/>
        <w:ind w:firstLine="535"/>
        <w:jc w:val="both"/>
      </w:pPr>
      <w:r>
        <w:rPr>
          <w:sz w:val="24"/>
        </w:rPr>
        <w:t>（3）对验收不合格的部分，乙方应在甲方规定时间内整改完善直至合格。</w:t>
      </w:r>
    </w:p>
    <w:p>
      <w:pPr>
        <w:pStyle w:val="null3"/>
        <w:ind w:firstLine="535"/>
        <w:jc w:val="both"/>
      </w:pPr>
      <w:r>
        <w:rPr>
          <w:sz w:val="24"/>
          <w:b/>
        </w:rPr>
        <w:t>七、知识产权产权归属</w:t>
      </w:r>
    </w:p>
    <w:p>
      <w:pPr>
        <w:pStyle w:val="null3"/>
        <w:ind w:firstLine="535"/>
        <w:jc w:val="both"/>
      </w:pP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535"/>
        <w:jc w:val="both"/>
      </w:pPr>
      <w:r>
        <w:rPr>
          <w:sz w:val="24"/>
          <w:b/>
        </w:rPr>
        <w:t>八、保密</w:t>
      </w:r>
    </w:p>
    <w:p>
      <w:pPr>
        <w:pStyle w:val="null3"/>
        <w:ind w:firstLine="535"/>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535"/>
        <w:jc w:val="both"/>
      </w:pPr>
      <w:r>
        <w:rPr>
          <w:sz w:val="24"/>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535"/>
        <w:jc w:val="both"/>
      </w:pPr>
      <w:r>
        <w:rPr>
          <w:sz w:val="24"/>
        </w:rPr>
        <w:t>2)除了合同本身之外，上款所列举的任何物件均是乙方的财产。如果乙方有要求，甲方在完成合同后应将这些物件及全部复制件还给乙方。</w:t>
      </w:r>
    </w:p>
    <w:p>
      <w:pPr>
        <w:pStyle w:val="null3"/>
        <w:ind w:firstLine="535"/>
        <w:jc w:val="both"/>
      </w:pPr>
      <w:r>
        <w:rPr>
          <w:sz w:val="24"/>
          <w:b/>
        </w:rPr>
        <w:t>九、违约责任与赔偿损失</w:t>
      </w:r>
    </w:p>
    <w:p>
      <w:pPr>
        <w:pStyle w:val="null3"/>
        <w:ind w:firstLine="535"/>
        <w:jc w:val="both"/>
      </w:pPr>
      <w:r>
        <w:rPr>
          <w:sz w:val="24"/>
        </w:rPr>
        <w:t>1)乙方提供的服务不符合采购文件、报价文件或本合同规定的，甲方有权拒收，并且乙方须向甲方方支付本合同总价10%的违约金。</w:t>
      </w:r>
    </w:p>
    <w:p>
      <w:pPr>
        <w:pStyle w:val="null3"/>
        <w:ind w:firstLine="535"/>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535"/>
        <w:jc w:val="both"/>
      </w:pPr>
      <w:r>
        <w:rPr>
          <w:sz w:val="24"/>
        </w:rPr>
        <w:t>3)甲方无正当理由拒收接受服务，到期拒付服务款项的，甲方向乙方偿付本合同总的10%的违约金。甲方人逾期付款，则每日按本合同总价的3‰向乙方偿付违约金。</w:t>
      </w:r>
    </w:p>
    <w:p>
      <w:pPr>
        <w:pStyle w:val="null3"/>
        <w:ind w:firstLine="535"/>
        <w:jc w:val="both"/>
      </w:pPr>
      <w:r>
        <w:rPr>
          <w:sz w:val="24"/>
        </w:rPr>
        <w:t>4)其它违约责任按《中华人民共和国民法典》处理。</w:t>
      </w:r>
    </w:p>
    <w:p>
      <w:pPr>
        <w:pStyle w:val="null3"/>
        <w:ind w:firstLine="535"/>
        <w:jc w:val="both"/>
      </w:pPr>
      <w:r>
        <w:rPr>
          <w:sz w:val="24"/>
          <w:b/>
        </w:rPr>
        <w:t>十、争端的解决</w:t>
      </w:r>
    </w:p>
    <w:p>
      <w:pPr>
        <w:pStyle w:val="null3"/>
        <w:ind w:firstLine="535"/>
        <w:jc w:val="both"/>
      </w:pPr>
      <w:r>
        <w:rPr>
          <w:sz w:val="24"/>
        </w:rPr>
        <w:t>合同执行过程中发生的任何争议，如双方不能通过友好协商解决，按相关法律法规处理。</w:t>
      </w:r>
    </w:p>
    <w:p>
      <w:pPr>
        <w:pStyle w:val="null3"/>
        <w:ind w:firstLine="535"/>
        <w:jc w:val="both"/>
      </w:pPr>
      <w:r>
        <w:rPr>
          <w:sz w:val="24"/>
          <w:b/>
        </w:rPr>
        <w:t>十一、不可抗力</w:t>
      </w:r>
    </w:p>
    <w:p>
      <w:pPr>
        <w:pStyle w:val="null3"/>
        <w:ind w:firstLine="535"/>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535"/>
        <w:jc w:val="both"/>
      </w:pPr>
      <w:r>
        <w:rPr>
          <w:sz w:val="24"/>
          <w:b/>
        </w:rPr>
        <w:t>十二、税费</w:t>
      </w:r>
    </w:p>
    <w:p>
      <w:pPr>
        <w:pStyle w:val="null3"/>
        <w:ind w:firstLine="535"/>
        <w:jc w:val="both"/>
      </w:pPr>
      <w:r>
        <w:rPr>
          <w:sz w:val="24"/>
        </w:rPr>
        <w:t>在中国境内、外发生的与本合同执行有关的一切税费均由乙方负担。</w:t>
      </w:r>
    </w:p>
    <w:p>
      <w:pPr>
        <w:pStyle w:val="null3"/>
        <w:ind w:firstLine="535"/>
        <w:jc w:val="both"/>
      </w:pPr>
      <w:r>
        <w:rPr>
          <w:sz w:val="24"/>
          <w:b/>
        </w:rPr>
        <w:t>十三、其它</w:t>
      </w:r>
    </w:p>
    <w:p>
      <w:pPr>
        <w:pStyle w:val="null3"/>
        <w:ind w:firstLine="535"/>
        <w:jc w:val="both"/>
      </w:pPr>
      <w:r>
        <w:rPr>
          <w:sz w:val="24"/>
        </w:rPr>
        <w:t>1)本合同所有附件、招标文件、投标文件、中标通知书均为合同的有效组成部分，与本合同具有同等法律效力。</w:t>
      </w:r>
    </w:p>
    <w:p>
      <w:pPr>
        <w:pStyle w:val="null3"/>
        <w:ind w:firstLine="535"/>
        <w:jc w:val="both"/>
      </w:pPr>
      <w:r>
        <w:rPr>
          <w:sz w:val="24"/>
        </w:rPr>
        <w:t>2)在执行本合同的过程中，所有经双方签署确认的文件 (包括会议纪要、补充协议、往来信函)即成为本合同的有效组成部分。</w:t>
      </w:r>
    </w:p>
    <w:p>
      <w:pPr>
        <w:pStyle w:val="null3"/>
        <w:ind w:firstLine="535"/>
        <w:jc w:val="both"/>
      </w:pPr>
      <w:r>
        <w:rPr>
          <w:sz w:val="24"/>
        </w:rPr>
        <w:t>3)如一方地址、电话、传真号码有变更，应在变更当日内书面通知对方，否则，应承担相应责任。</w:t>
      </w:r>
    </w:p>
    <w:p>
      <w:pPr>
        <w:pStyle w:val="null3"/>
        <w:ind w:firstLine="535"/>
        <w:jc w:val="both"/>
      </w:pPr>
      <w:r>
        <w:rPr>
          <w:sz w:val="24"/>
        </w:rPr>
        <w:t>4)除甲方事先书面同意外，乙方不得部分或全部转让其应履行的合同项下的义务。</w:t>
      </w:r>
    </w:p>
    <w:p>
      <w:pPr>
        <w:pStyle w:val="null3"/>
        <w:ind w:firstLine="535"/>
        <w:jc w:val="both"/>
      </w:pPr>
      <w:r>
        <w:rPr>
          <w:sz w:val="24"/>
          <w:b/>
        </w:rPr>
        <w:t>十四、合同生效</w:t>
      </w:r>
    </w:p>
    <w:p>
      <w:pPr>
        <w:pStyle w:val="null3"/>
        <w:ind w:firstLine="535"/>
        <w:jc w:val="both"/>
      </w:pPr>
      <w:r>
        <w:rPr>
          <w:sz w:val="24"/>
        </w:rPr>
        <w:t>1)本合同在甲乙双方法人代表或其授权代表签字盖章后生效。</w:t>
      </w:r>
    </w:p>
    <w:p>
      <w:pPr>
        <w:pStyle w:val="null3"/>
        <w:ind w:firstLine="535"/>
        <w:jc w:val="both"/>
      </w:pPr>
      <w:r>
        <w:rPr>
          <w:sz w:val="24"/>
        </w:rPr>
        <w:t>2)本合同一式</w:t>
      </w:r>
      <w:r>
        <w:rPr>
          <w:sz w:val="24"/>
          <w:u w:val="single"/>
        </w:rPr>
        <w:t xml:space="preserve">   </w:t>
      </w:r>
      <w:r>
        <w:rPr>
          <w:sz w:val="24"/>
        </w:rPr>
        <w:t>份，具有同等效力，甲方执</w:t>
      </w:r>
      <w:r>
        <w:rPr>
          <w:sz w:val="24"/>
          <w:u w:val="single"/>
        </w:rPr>
        <w:t xml:space="preserve">   </w:t>
      </w:r>
      <w:r>
        <w:rPr>
          <w:sz w:val="24"/>
        </w:rPr>
        <w:t>份、乙方执</w:t>
      </w:r>
      <w:r>
        <w:rPr>
          <w:sz w:val="24"/>
          <w:u w:val="single"/>
        </w:rPr>
        <w:t xml:space="preserve">   </w:t>
      </w:r>
      <w:r>
        <w:rPr>
          <w:sz w:val="24"/>
        </w:rPr>
        <w:t>份，招标代理机构执壹份。合同自双方法定代表人或授权代表签字并加盖公章之日起生效。</w:t>
      </w:r>
    </w:p>
    <w:p>
      <w:pPr>
        <w:pStyle w:val="null3"/>
        <w:ind w:firstLine="535"/>
        <w:jc w:val="both"/>
      </w:pPr>
      <w:r>
        <w:rPr/>
        <w:t xml:space="preserve"> </w:t>
      </w:r>
    </w:p>
    <w:p>
      <w:pPr>
        <w:pStyle w:val="null3"/>
        <w:jc w:val="both"/>
      </w:pPr>
      <w:r>
        <w:rPr>
          <w:sz w:val="24"/>
        </w:rPr>
        <w:t>甲方(盖章) ：                                 乙方(盖章) ：</w:t>
      </w:r>
    </w:p>
    <w:p>
      <w:pPr>
        <w:pStyle w:val="null3"/>
        <w:jc w:val="both"/>
      </w:pPr>
      <w:r>
        <w:rPr>
          <w:sz w:val="24"/>
        </w:rPr>
        <w:t>代表：                                           代表：</w:t>
      </w:r>
    </w:p>
    <w:p>
      <w:pPr>
        <w:pStyle w:val="null3"/>
        <w:jc w:val="both"/>
      </w:pPr>
      <w:r>
        <w:rPr>
          <w:sz w:val="24"/>
        </w:rPr>
        <w:t xml:space="preserve">签定地点：      </w:t>
      </w:r>
    </w:p>
    <w:p>
      <w:pPr>
        <w:pStyle w:val="null3"/>
        <w:jc w:val="both"/>
      </w:pPr>
      <w:r>
        <w:rPr>
          <w:sz w:val="24"/>
        </w:rPr>
        <w:t>签定日期：   年   月   日                  签定日期：</w:t>
      </w:r>
      <w:r>
        <w:rPr>
          <w:sz w:val="24"/>
        </w:rPr>
        <w:t xml:space="preserve">   年   月   日</w:t>
      </w:r>
    </w:p>
    <w:p>
      <w:pPr>
        <w:pStyle w:val="null3"/>
        <w:jc w:val="both"/>
      </w:pPr>
      <w:r>
        <w:rPr>
          <w:sz w:val="24"/>
        </w:rPr>
        <w:t xml:space="preserve">                                                     开户名称：</w:t>
      </w:r>
    </w:p>
    <w:p>
      <w:pPr>
        <w:pStyle w:val="null3"/>
        <w:jc w:val="both"/>
      </w:pPr>
      <w:r>
        <w:rPr>
          <w:sz w:val="24"/>
        </w:rPr>
        <w:t xml:space="preserve">                                                     </w:t>
      </w:r>
      <w:r>
        <w:rPr>
          <w:sz w:val="24"/>
        </w:rPr>
        <w:t>银行账号：</w:t>
      </w:r>
    </w:p>
    <w:p>
      <w:pPr>
        <w:pStyle w:val="null3"/>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440114-2024-01671</w:t>
      </w:r>
    </w:p>
    <w:p>
      <w:pPr>
        <w:pStyle w:val="null3"/>
        <w:jc w:val="center"/>
        <w:outlineLvl w:val="3"/>
      </w:pPr>
      <w:r>
        <w:rPr>
          <w:sz w:val="24"/>
          <w:b/>
        </w:rPr>
        <w:t>采购项目编号：</w:t>
      </w:r>
      <w:r>
        <w:rPr>
          <w:sz w:val="24"/>
          <w:b/>
        </w:rPr>
        <w:t>GZCQC2401FG04018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花城街道办事处综合事务社会化服务项目</w:t>
      </w:r>
      <w:r>
        <w:rPr>
          <w:u w:val="single"/>
        </w:rPr>
        <w:t>”</w:t>
      </w:r>
      <w:r>
        <w:rPr/>
        <w:t>项目的招标[采购项目编号为：</w:t>
      </w:r>
      <w:r>
        <w:rPr>
          <w:u w:val="single"/>
        </w:rPr>
        <w:t>GZCQC2401FG04018</w:t>
      </w:r>
      <w:r>
        <w:rPr/>
        <w:t>]，我方愿参与投标。</w:t>
      </w:r>
    </w:p>
    <w:p>
      <w:pPr>
        <w:pStyle w:val="null3"/>
        <w:ind w:firstLine="480"/>
      </w:pPr>
      <w:r>
        <w:rPr/>
        <w:t>我方确认收到贵方提供的</w:t>
      </w:r>
      <w:r>
        <w:rPr>
          <w:u w:val="single"/>
        </w:rPr>
        <w:t>“</w:t>
      </w:r>
      <w:r>
        <w:rPr>
          <w:u w:val="single"/>
        </w:rPr>
        <w:t>花城街道办事处综合事务社会化服务项目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花城街道办事处综合事务社会化服务项目</w:t>
      </w:r>
      <w:r>
        <w:rPr/>
        <w:t>”项目采购[采购项目编号为</w:t>
      </w:r>
      <w:r>
        <w:rPr/>
        <w:t>GZCQC2401FG04018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广州市花都区人民政府花城街道办事处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花城街道办事处综合事务社会化服务项目</w:t>
      </w:r>
      <w:r>
        <w:rPr/>
        <w:t>招标中获中标（采购项目编号：</w:t>
      </w:r>
      <w:r>
        <w:rPr/>
        <w:t>GZCQC2401FG04018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