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440001-2024-16782</w:t>
      </w:r>
    </w:p>
    <w:p>
      <w:pPr>
        <w:pStyle w:val="null3"/>
        <w:jc w:val="center"/>
        <w:outlineLvl w:val="3"/>
      </w:pPr>
      <w:r>
        <w:rPr>
          <w:sz w:val="24"/>
          <w:b/>
        </w:rPr>
        <w:t>采购项目编号：</w:t>
      </w:r>
      <w:r>
        <w:rPr>
          <w:sz w:val="24"/>
          <w:b/>
        </w:rPr>
        <w:t>GZCQC2400HG03007</w:t>
      </w:r>
    </w:p>
    <w:p>
      <w:pPr>
        <w:pStyle w:val="null3"/>
        <w:jc w:val="center"/>
        <w:outlineLvl w:val="3"/>
      </w:pPr>
      <w:r>
        <w:rPr>
          <w:sz w:val="24"/>
          <w:b/>
        </w:rPr>
        <w:t>项目名称：</w:t>
      </w:r>
      <w:r>
        <w:rPr>
          <w:sz w:val="24"/>
          <w:b/>
        </w:rPr>
        <w:t>广东省特种证件制作中心2024-6新能源汽车号牌原材料采购项目</w:t>
      </w:r>
    </w:p>
    <w:p>
      <w:pPr>
        <w:pStyle w:val="null3"/>
        <w:jc w:val="center"/>
        <w:outlineLvl w:val="3"/>
      </w:pPr>
      <w:r>
        <w:rPr>
          <w:sz w:val="24"/>
          <w:b/>
        </w:rPr>
        <w:t>采购人：</w:t>
      </w:r>
      <w:r>
        <w:rPr>
          <w:sz w:val="24"/>
          <w:b/>
        </w:rPr>
        <w:t>广东省特种证件制作中心</w:t>
      </w:r>
    </w:p>
    <w:p>
      <w:pPr>
        <w:pStyle w:val="null3"/>
        <w:jc w:val="center"/>
        <w:outlineLvl w:val="3"/>
      </w:pPr>
      <w:r>
        <w:rPr>
          <w:sz w:val="24"/>
          <w:b/>
        </w:rPr>
        <w:t>采购代理机构：</w:t>
      </w:r>
      <w:r>
        <w:rPr>
          <w:sz w:val="24"/>
          <w:b/>
        </w:rPr>
        <w:t>广州程启招标代理有限公司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广州程启招标代理有限公司</w:t>
      </w:r>
      <w:r>
        <w:rPr/>
        <w:t>受</w:t>
      </w:r>
      <w:r>
        <w:rPr/>
        <w:t>广东省特种证件制作中心</w:t>
      </w:r>
      <w:r>
        <w:rPr/>
        <w:t>的委托，采用</w:t>
      </w:r>
      <w:r>
        <w:rPr/>
        <w:t>公开招标</w:t>
      </w:r>
      <w:r>
        <w:rPr/>
        <w:t>方式组织采购</w:t>
      </w:r>
      <w:r>
        <w:rPr/>
        <w:t>广东省特种证件制作中心2024-6新能源汽车号牌原材料采购项目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广东省特种证件制作中心2024-6新能源汽车号牌原材料采购项目</w:t>
      </w:r>
    </w:p>
    <w:p>
      <w:pPr>
        <w:pStyle w:val="null3"/>
        <w:ind w:firstLine="480"/>
      </w:pPr>
      <w:r>
        <w:rPr/>
        <w:t>采购计划编号：</w:t>
      </w:r>
      <w:r>
        <w:rPr/>
        <w:t>440001-2024-16782</w:t>
      </w:r>
    </w:p>
    <w:p>
      <w:pPr>
        <w:pStyle w:val="null3"/>
        <w:ind w:firstLine="480"/>
      </w:pPr>
      <w:r>
        <w:rPr/>
        <w:t>采购项目编号：</w:t>
      </w:r>
      <w:r>
        <w:rPr/>
        <w:t>GZCQC2400HG03007</w:t>
      </w:r>
    </w:p>
    <w:p>
      <w:pPr>
        <w:pStyle w:val="null3"/>
        <w:ind w:firstLine="480"/>
      </w:pPr>
      <w:r>
        <w:rPr/>
        <w:t>采购方式：</w:t>
      </w:r>
      <w:r>
        <w:rPr/>
        <w:t>公开招标</w:t>
      </w:r>
    </w:p>
    <w:p>
      <w:pPr>
        <w:pStyle w:val="null3"/>
        <w:ind w:firstLine="480"/>
      </w:pPr>
      <w:r>
        <w:rPr/>
        <w:t>预算金额：</w:t>
      </w:r>
      <w:r>
        <w:rPr/>
        <w:t>23,017,400.00</w:t>
      </w:r>
      <w:r>
        <w:rPr/>
        <w:t>元</w:t>
      </w:r>
    </w:p>
    <w:p>
      <w:pPr>
        <w:pStyle w:val="null3"/>
        <w:outlineLvl w:val="3"/>
      </w:pPr>
      <w:r>
        <w:rPr>
          <w:sz w:val="24"/>
          <w:b/>
        </w:rPr>
        <w:t>2.项目内容及需求情况（采购项目技术规格、参数及要求）</w:t>
      </w:r>
    </w:p>
    <w:p>
      <w:pPr>
        <w:pStyle w:val="null3"/>
      </w:pPr>
      <w:r>
        <w:rPr/>
        <w:t>采购包1(广东省特种证件制作中心2024-6新能源汽车号牌原材料采购项目):</w:t>
      </w:r>
    </w:p>
    <w:p>
      <w:pPr>
        <w:pStyle w:val="null3"/>
      </w:pPr>
      <w:r>
        <w:rPr/>
        <w:t>采购包预算金额：23,017,400.00元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塑料制品</w:t>
            </w:r>
          </w:p>
        </w:tc>
        <w:tc>
          <w:tcPr>
            <w:tcW w:type="dxa" w:w="2136"/>
          </w:tcPr>
          <w:p>
            <w:pPr>
              <w:pStyle w:val="null3"/>
            </w:pPr>
            <w:r>
              <w:rPr/>
              <w:t>新能源汽车号牌原材料采购项目</w:t>
            </w:r>
          </w:p>
        </w:tc>
        <w:tc>
          <w:tcPr>
            <w:tcW w:type="dxa" w:w="1187"/>
          </w:tcPr>
          <w:p>
            <w:pPr>
              <w:pStyle w:val="null3"/>
            </w:pPr>
            <w:r>
              <w:rPr/>
              <w:t>1(批)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合同分包：允许合同分包</w:t>
      </w:r>
    </w:p>
    <w:p>
      <w:pPr>
        <w:pStyle w:val="null3"/>
      </w:pPr>
      <w:r>
        <w:rPr/>
        <w:t>合同履行期限：1年（从合同签订生效之日起）。</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p>
      <w:pPr>
        <w:pStyle w:val="null3"/>
      </w:pPr>
      <w:r>
        <w:rPr/>
        <w:t>2）有依法缴纳税收和社会保障资金的良好记录：提供投标截止日前6个月内任意1个月依法缴纳税收和社会保障资金的相关材料。如依法免税或不需要缴纳社会保障资金的， 提供相应证明材料。</w:t>
      </w:r>
    </w:p>
    <w:p>
      <w:pPr>
        <w:pStyle w:val="null3"/>
      </w:pPr>
      <w:r>
        <w:rPr/>
        <w:t>3）具有良好的商业信誉和健全的财务会计制度：供应商必须具有良好的商业信誉和健全的财务会计制度（提供以下2种证明材料之一：①2022年度或2023年度经会计师事务所审计的财务状况报告；②基本开户行出具的资信证明和《基本存款账号信息》）。</w:t>
      </w:r>
    </w:p>
    <w:p>
      <w:pPr>
        <w:pStyle w:val="null3"/>
      </w:pPr>
      <w:r>
        <w:rPr/>
        <w:t>4）履行合同所必需的设备和专业技术能力：按投标（响应）文件格式填报设备及专业技术能力情况。</w:t>
      </w:r>
    </w:p>
    <w:p>
      <w:pPr>
        <w:pStyle w:val="null3"/>
      </w:pPr>
      <w:r>
        <w:rPr/>
        <w:t>5）参加采购活动前3年内，在经营活动中没有重大违法记录：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采购包1（广东省特种证件制作中心2024-6新能源汽车号牌原材料采购项目）：</w:t>
      </w:r>
      <w:r>
        <w:rPr/>
        <w:t>本项目预留部分采购预算份额专门面向中小企业采购，预留合同金额40%面向中小企业采购，其中70%预留给小微企业。投标人须满足以下情形之一： ①投标人提供货物全部由小微企业生产且使用该小微企业商号或注册商标。须符合本项目采购标的对应行业（本项目所属行业为“工业”）政策划分标准的小微企业。投标时提供《中小企业声明函（货物）》或由省级以上监狱管理局、戒毒管理局（含新疆生产建设兵团）出具的属于监狱企业的证明文件或《残疾人福利性单位声明函》。 ②投标人提供货物由中型企业生产且使用该中型企业商号或注册商标。投标人应将适宜分包的内容分包给小微企业，分包金额须达到合同金额28%或以上。分包企业须符合本项目采购标的对应行业（本项目所属行业为“工业”）政策划分标准的中小微企业，接受分包合同的中小企业与分包企业之间不得存在直接控股、管理关系。投标人投标时提交符合上述比例的《分包意向协议书》和分包意向协议书上述比例全部货物的制造商的承接方的《中小企业声明函（货物）》或由省级以上监狱管理局、戒毒管理局(含新疆生产建设兵团)出具的分包意向协议上述比例全部货物的制造商属于监狱企业的证明文件或分包意向协议书上述比例全部货物的制造商的《残疾人福利性单位声明函》。 ③投标人提供货物大型企业生产。投标人应将适宜分包的内容分包给中小微企业，分包金额须达到合同金额40%或以上（其中，小微企业所占比例不低于70%）。分包企业须符合本项目采购标的对应行业（本项目所属行业为“工业”）政策划分标准的中小微企业，接受分包合同的中小企业与分包企业之间不得存在直接控股、管理关系。投标人投标时提交符合上述比例的《分包意向协议书》和分包意向协议书上述比例全部货物的制造商的承接方的《中小企业声明函（货物）》或由省级以上监狱管理局、戒毒管理局(含新疆生产建设兵团)出具的分包意向协议书上述比例全部货物的制造商属于监狱企业的证明文件或分包意向协议书上述比例全部货物的制造商的《残疾人福利性单位声明函》。</w:t>
      </w:r>
    </w:p>
    <w:p>
      <w:pPr>
        <w:pStyle w:val="null3"/>
        <w:outlineLvl w:val="3"/>
      </w:pPr>
      <w:r>
        <w:rPr>
          <w:sz w:val="24"/>
          <w:b/>
        </w:rPr>
        <w:t>3.本项目特定的资格要求：</w:t>
      </w:r>
    </w:p>
    <w:p>
      <w:pPr>
        <w:pStyle w:val="null3"/>
      </w:pPr>
      <w:r>
        <w:rPr/>
        <w:t>采购包1（广东省特种证件制作中心2024-6新能源汽车号牌原材料采购项目）：</w:t>
      </w:r>
    </w:p>
    <w:p>
      <w:pPr>
        <w:pStyle w:val="null3"/>
      </w:pPr>
      <w:r>
        <w:rPr/>
        <w:t>1)投标人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代理机构于评审当天在“信用中国”网站（www.creditchina.gov.cn）及中国政府采购网（http://www.ccgp.gov.cn/）查询结果为准，如相关失信记录已失效，投标人需提供相关证明资料）</w:t>
      </w:r>
    </w:p>
    <w:p>
      <w:pPr>
        <w:pStyle w:val="null3"/>
      </w:pPr>
      <w:r>
        <w:rPr/>
        <w:t>2)单位负责人为同一人或者存在直接控股、管理关系的不同供应商，不得参加同一合同项下的政府采购活动。（依据《投标函》）</w:t>
      </w:r>
    </w:p>
    <w:p>
      <w:pPr>
        <w:pStyle w:val="null3"/>
      </w:pPr>
      <w:r>
        <w:rPr/>
        <w:t>3)为采购项目提供整体设计、规范编制或者项目管理、监理、检测等服务的供应商，不得再参加该采购项目的其他采购活动。（依据《投标函》）</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广州程启招标代理有限公司网（www.gzcqc.com）</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广东省特种证件制作中心</w:t>
      </w:r>
    </w:p>
    <w:p>
      <w:pPr>
        <w:pStyle w:val="null3"/>
        <w:ind w:firstLine="480"/>
      </w:pPr>
      <w:r>
        <w:rPr/>
        <w:t xml:space="preserve"> 地址：</w:t>
      </w:r>
      <w:r>
        <w:rPr/>
        <w:t>广州市天河区天源路943号</w:t>
      </w:r>
    </w:p>
    <w:p>
      <w:pPr>
        <w:pStyle w:val="null3"/>
        <w:ind w:firstLine="480"/>
      </w:pPr>
      <w:r>
        <w:rPr/>
        <w:t xml:space="preserve"> 联系方式：</w:t>
      </w:r>
      <w:r>
        <w:rPr/>
        <w:t>020-83110987</w:t>
      </w:r>
    </w:p>
    <w:p>
      <w:pPr>
        <w:pStyle w:val="null3"/>
        <w:outlineLvl w:val="3"/>
      </w:pPr>
      <w:r>
        <w:rPr>
          <w:sz w:val="24"/>
          <w:b/>
        </w:rPr>
        <w:t xml:space="preserve"> 2.采购代理机构信息</w:t>
      </w:r>
    </w:p>
    <w:p>
      <w:pPr>
        <w:pStyle w:val="null3"/>
        <w:ind w:firstLine="480"/>
      </w:pPr>
      <w:r>
        <w:rPr/>
        <w:t xml:space="preserve"> 名称：</w:t>
      </w:r>
      <w:r>
        <w:rPr/>
        <w:t>广州程启招标代理有限公司</w:t>
      </w:r>
    </w:p>
    <w:p>
      <w:pPr>
        <w:pStyle w:val="null3"/>
        <w:ind w:firstLine="480"/>
      </w:pPr>
      <w:r>
        <w:rPr/>
        <w:t xml:space="preserve"> 地址：</w:t>
      </w:r>
      <w:r>
        <w:rPr/>
        <w:t>广州市越秀区沿江中路298号江湾新城A座8楼</w:t>
      </w:r>
    </w:p>
    <w:p>
      <w:pPr>
        <w:pStyle w:val="null3"/>
        <w:ind w:firstLine="480"/>
      </w:pPr>
      <w:r>
        <w:rPr/>
        <w:t xml:space="preserve"> 联系方式：</w:t>
      </w:r>
      <w:r>
        <w:rPr/>
        <w:t>020-83576900</w:t>
      </w:r>
    </w:p>
    <w:p>
      <w:pPr>
        <w:pStyle w:val="null3"/>
        <w:outlineLvl w:val="3"/>
      </w:pPr>
      <w:r>
        <w:rPr>
          <w:sz w:val="24"/>
          <w:b/>
        </w:rPr>
        <w:t xml:space="preserve"> 3.项目联系方式</w:t>
      </w:r>
    </w:p>
    <w:p>
      <w:pPr>
        <w:pStyle w:val="null3"/>
        <w:ind w:firstLine="480"/>
      </w:pPr>
      <w:r>
        <w:rPr/>
        <w:t xml:space="preserve"> 项目联系人：</w:t>
      </w:r>
      <w:r>
        <w:rPr/>
        <w:t>朱小姐</w:t>
      </w:r>
    </w:p>
    <w:p>
      <w:pPr>
        <w:pStyle w:val="null3"/>
        <w:ind w:firstLine="480"/>
      </w:pPr>
      <w:r>
        <w:rPr/>
        <w:t xml:space="preserve"> 电话：</w:t>
      </w:r>
      <w:r>
        <w:rPr/>
        <w:t>020-83576900</w:t>
      </w:r>
    </w:p>
    <w:p>
      <w:pPr>
        <w:pStyle w:val="null3"/>
        <w:outlineLvl w:val="3"/>
      </w:pPr>
      <w:r>
        <w:rPr>
          <w:sz w:val="24"/>
          <w:b/>
        </w:rPr>
        <w:t xml:space="preserve"> 4.技术支持联系方式</w:t>
      </w:r>
    </w:p>
    <w:p>
      <w:pPr>
        <w:pStyle w:val="null3"/>
        <w:ind w:firstLine="480"/>
      </w:pPr>
      <w:r>
        <w:rPr/>
        <w:t>云平台联系方式：020-88696588</w:t>
      </w:r>
    </w:p>
    <w:p>
      <w:pPr>
        <w:pStyle w:val="null3"/>
      </w:pPr>
      <w:r>
        <w:rPr/>
        <w:t xml:space="preserve"> 采购代理机构：</w:t>
      </w:r>
      <w:r>
        <w:rPr/>
        <w:t>广州程启招标代理有限公司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4"/>
        </w:rPr>
        <w:t>（一）项目名称</w:t>
      </w:r>
    </w:p>
    <w:p>
      <w:pPr>
        <w:pStyle w:val="null3"/>
        <w:ind w:firstLine="485"/>
        <w:jc w:val="left"/>
      </w:pPr>
      <w:r>
        <w:rPr>
          <w:sz w:val="24"/>
        </w:rPr>
        <w:t>广东省特种证件制作中心2024-6新能源汽车号牌原材料采购项目。</w:t>
      </w:r>
    </w:p>
    <w:p>
      <w:pPr>
        <w:pStyle w:val="null3"/>
        <w:ind w:firstLine="485"/>
        <w:jc w:val="left"/>
      </w:pPr>
      <w:r>
        <w:rPr>
          <w:sz w:val="24"/>
        </w:rPr>
        <w:t>（二）本项目为货物类项目，其中小企业划分标准所属行业为：工业。</w:t>
      </w:r>
    </w:p>
    <w:p>
      <w:pPr>
        <w:pStyle w:val="null3"/>
        <w:ind w:firstLine="485"/>
        <w:jc w:val="left"/>
      </w:pPr>
      <w:r>
        <w:rPr>
          <w:sz w:val="24"/>
        </w:rPr>
        <w:t>（三）需要落实的政府采购政策：《政府采购促进中小企业发展管理办法》（财库〔2020〕46号）、《关于政府采购支持监狱企业发展有关问题的通知》(财库〔2014〕68号)、《关于促进残疾人就业政府采购政策的通知》（财库〔2017〕141号)等。</w:t>
      </w:r>
    </w:p>
    <w:p>
      <w:pPr>
        <w:pStyle w:val="null3"/>
        <w:ind w:firstLine="485"/>
        <w:jc w:val="left"/>
      </w:pPr>
      <w:r>
        <w:rPr>
          <w:sz w:val="24"/>
        </w:rPr>
        <w:t>（四）投标人须对本项目的采购标的进行整体投标，任何只对本项目采购标的其中一部分内容、数量进行的投标都被视为无效投标。</w:t>
      </w:r>
    </w:p>
    <w:p>
      <w:pPr>
        <w:pStyle w:val="null3"/>
        <w:ind w:firstLine="485"/>
        <w:jc w:val="left"/>
      </w:pPr>
      <w:r>
        <w:rPr>
          <w:sz w:val="24"/>
        </w:rPr>
        <w:t>（五）采购需求中标注“★”号条款为实质性条款，必须逐条进行响应，有任何一条负偏离的，将导致无效投标。</w:t>
      </w:r>
    </w:p>
    <w:p>
      <w:pPr>
        <w:pStyle w:val="null3"/>
        <w:ind w:firstLine="485"/>
        <w:jc w:val="left"/>
      </w:pPr>
      <w:r>
        <w:rPr>
          <w:sz w:val="24"/>
        </w:rPr>
        <w:t>（六）采购清单一览表</w:t>
      </w:r>
    </w:p>
    <w:tbl>
      <w:tblPr>
        <w:tblW w:w="0" w:type="auto"/>
        <w:tblBorders>
          <w:top w:val="single"/>
          <w:left w:val="single"/>
          <w:bottom w:val="single"/>
          <w:right w:val="single"/>
          <w:insideH w:val="single"/>
          <w:insideV w:val="single"/>
        </w:tblBorders>
      </w:tblPr>
      <w:tblGrid>
        <w:gridCol w:w="1006"/>
        <w:gridCol w:w="1581"/>
        <w:gridCol w:w="1495"/>
        <w:gridCol w:w="2199"/>
        <w:gridCol w:w="2026"/>
      </w:tblGrid>
      <w:tr>
        <w:tc>
          <w:tcPr>
            <w:tcW w:type="dxa" w:w="1006"/>
            <w:tcBorders>
              <w:top w:val="single" w:color="000000" w:sz="4"/>
              <w:left w:val="single" w:color="000000" w:sz="4"/>
              <w:bottom w:val="single" w:color="000000" w:sz="4"/>
              <w:right w:val="single" w:color="000000" w:sz="4"/>
            </w:tcBorders>
            <w:tcMar>
              <w:top w:type="dxa" w:w="1"/>
              <w:left w:type="dxa" w:w="1"/>
              <w:bottom w:type="dxa" w:w="0"/>
              <w:right w:type="dxa" w:w="1"/>
            </w:tcMar>
          </w:tcPr>
          <w:p>
            <w:pPr>
              <w:pStyle w:val="null3"/>
              <w:jc w:val="center"/>
            </w:pPr>
            <w:r>
              <w:rPr>
                <w:sz w:val="24"/>
                <w:b/>
              </w:rPr>
              <w:t>内容</w:t>
            </w:r>
          </w:p>
        </w:tc>
        <w:tc>
          <w:tcPr>
            <w:tcW w:type="dxa" w:w="1581"/>
            <w:tcBorders>
              <w:top w:val="single" w:color="000000" w:sz="4"/>
              <w:left w:val="none" w:color="000000" w:sz="4"/>
              <w:bottom w:val="single" w:color="000000" w:sz="4"/>
              <w:right w:val="single" w:color="000000" w:sz="4"/>
            </w:tcBorders>
            <w:tcMar>
              <w:top w:type="dxa" w:w="1"/>
              <w:left w:type="dxa" w:w="1"/>
              <w:bottom w:type="dxa" w:w="0"/>
              <w:right w:type="dxa" w:w="1"/>
            </w:tcMar>
          </w:tcPr>
          <w:p>
            <w:pPr>
              <w:pStyle w:val="null3"/>
              <w:jc w:val="center"/>
            </w:pPr>
            <w:r>
              <w:rPr>
                <w:sz w:val="24"/>
                <w:b/>
              </w:rPr>
              <w:t>颜色</w:t>
            </w:r>
          </w:p>
        </w:tc>
        <w:tc>
          <w:tcPr>
            <w:tcW w:type="dxa" w:w="1495"/>
            <w:tcBorders>
              <w:top w:val="single" w:color="000000" w:sz="4"/>
              <w:left w:val="none" w:color="000000" w:sz="4"/>
              <w:bottom w:val="single" w:color="000000" w:sz="4"/>
              <w:right w:val="single" w:color="000000" w:sz="4"/>
            </w:tcBorders>
            <w:tcMar>
              <w:top w:type="dxa" w:w="1"/>
              <w:left w:type="dxa" w:w="1"/>
              <w:bottom w:type="dxa" w:w="0"/>
              <w:right w:type="dxa" w:w="1"/>
            </w:tcMar>
          </w:tcPr>
          <w:p>
            <w:pPr>
              <w:pStyle w:val="null3"/>
              <w:jc w:val="center"/>
            </w:pPr>
            <w:r>
              <w:rPr>
                <w:sz w:val="24"/>
                <w:b/>
              </w:rPr>
              <w:t>数量（㎡）</w:t>
            </w:r>
          </w:p>
        </w:tc>
        <w:tc>
          <w:tcPr>
            <w:tcW w:type="dxa" w:w="2199"/>
            <w:tcBorders>
              <w:top w:val="single" w:color="000000" w:sz="4"/>
              <w:left w:val="none" w:color="000000" w:sz="4"/>
              <w:bottom w:val="single" w:color="000000" w:sz="4"/>
              <w:right w:val="single" w:color="000000" w:sz="4"/>
            </w:tcBorders>
            <w:tcMar>
              <w:top w:type="dxa" w:w="1"/>
              <w:left w:type="dxa" w:w="1"/>
              <w:bottom w:type="dxa" w:w="0"/>
              <w:right w:type="dxa" w:w="1"/>
            </w:tcMar>
          </w:tcPr>
          <w:p>
            <w:pPr>
              <w:pStyle w:val="null3"/>
              <w:jc w:val="center"/>
            </w:pPr>
            <w:r>
              <w:rPr>
                <w:sz w:val="24"/>
                <w:b/>
              </w:rPr>
              <w:t>单价最高限价（元/㎡）</w:t>
            </w:r>
          </w:p>
        </w:tc>
        <w:tc>
          <w:tcPr>
            <w:tcW w:type="dxa" w:w="2026"/>
            <w:tcBorders>
              <w:top w:val="single" w:color="000000" w:sz="4"/>
              <w:left w:val="none" w:color="000000" w:sz="4"/>
              <w:bottom w:val="single" w:color="000000" w:sz="4"/>
              <w:right w:val="single" w:color="000000" w:sz="4"/>
            </w:tcBorders>
            <w:tcMar>
              <w:top w:type="dxa" w:w="1"/>
              <w:left w:type="dxa" w:w="1"/>
              <w:bottom w:type="dxa" w:w="0"/>
              <w:right w:type="dxa" w:w="1"/>
            </w:tcMar>
          </w:tcPr>
          <w:p>
            <w:pPr>
              <w:pStyle w:val="null3"/>
              <w:jc w:val="center"/>
            </w:pPr>
            <w:r>
              <w:rPr>
                <w:sz w:val="24"/>
                <w:b/>
              </w:rPr>
              <w:t>单项最高限价（元）</w:t>
            </w:r>
          </w:p>
        </w:tc>
      </w:tr>
      <w:tr>
        <w:tc>
          <w:tcPr>
            <w:tcW w:type="dxa" w:w="1006"/>
            <w:vMerge w:val="restart"/>
            <w:tcBorders>
              <w:top w:val="none" w:color="000000" w:sz="4"/>
              <w:left w:val="single" w:color="000000" w:sz="4"/>
              <w:bottom w:val="single" w:color="000000" w:sz="4"/>
              <w:right w:val="single" w:color="000000" w:sz="4"/>
            </w:tcBorders>
            <w:tcMar>
              <w:top w:type="dxa" w:w="1"/>
              <w:left w:type="dxa" w:w="1"/>
              <w:bottom w:type="dxa" w:w="0"/>
              <w:right w:type="dxa" w:w="1"/>
            </w:tcMar>
          </w:tcPr>
          <w:p>
            <w:pPr>
              <w:pStyle w:val="null3"/>
              <w:jc w:val="center"/>
            </w:pPr>
            <w:r>
              <w:rPr>
                <w:sz w:val="24"/>
              </w:rPr>
              <w:t>反光膜</w:t>
            </w:r>
          </w:p>
        </w:tc>
        <w:tc>
          <w:tcPr>
            <w:tcW w:type="dxa" w:w="1581"/>
            <w:tcBorders>
              <w:top w:val="none" w:color="000000" w:sz="4"/>
              <w:left w:val="none" w:color="000000" w:sz="4"/>
              <w:bottom w:val="single" w:color="000000" w:sz="4"/>
              <w:right w:val="single" w:color="000000" w:sz="4"/>
            </w:tcBorders>
            <w:tcMar>
              <w:top w:type="dxa" w:w="1"/>
              <w:left w:type="dxa" w:w="1"/>
              <w:bottom w:type="dxa" w:w="0"/>
              <w:right w:type="dxa" w:w="1"/>
            </w:tcMar>
          </w:tcPr>
          <w:p>
            <w:pPr>
              <w:pStyle w:val="null3"/>
              <w:jc w:val="center"/>
            </w:pPr>
            <w:r>
              <w:rPr>
                <w:sz w:val="24"/>
              </w:rPr>
              <w:t>黄绿双拼</w:t>
            </w:r>
          </w:p>
        </w:tc>
        <w:tc>
          <w:tcPr>
            <w:tcW w:type="dxa" w:w="1495"/>
            <w:tcBorders>
              <w:top w:val="none" w:color="000000" w:sz="4"/>
              <w:left w:val="none" w:color="000000" w:sz="4"/>
              <w:bottom w:val="single" w:color="000000" w:sz="4"/>
              <w:right w:val="single" w:color="000000" w:sz="4"/>
            </w:tcBorders>
            <w:tcMar>
              <w:top w:type="dxa" w:w="1"/>
              <w:left w:type="dxa" w:w="1"/>
              <w:bottom w:type="dxa" w:w="0"/>
              <w:right w:type="dxa" w:w="1"/>
            </w:tcMar>
          </w:tcPr>
          <w:p>
            <w:pPr>
              <w:pStyle w:val="null3"/>
              <w:jc w:val="center"/>
            </w:pPr>
            <w:r>
              <w:rPr>
                <w:sz w:val="24"/>
              </w:rPr>
              <w:t>5700</w:t>
            </w:r>
          </w:p>
        </w:tc>
        <w:tc>
          <w:tcPr>
            <w:tcW w:type="dxa" w:w="2199"/>
            <w:tcBorders>
              <w:top w:val="none" w:color="000000" w:sz="4"/>
              <w:left w:val="none" w:color="000000" w:sz="4"/>
              <w:bottom w:val="single" w:color="000000" w:sz="4"/>
              <w:right w:val="single" w:color="000000" w:sz="4"/>
            </w:tcBorders>
            <w:tcMar>
              <w:top w:type="dxa" w:w="1"/>
              <w:left w:type="dxa" w:w="1"/>
              <w:bottom w:type="dxa" w:w="0"/>
              <w:right w:type="dxa" w:w="1"/>
            </w:tcMar>
          </w:tcPr>
          <w:p>
            <w:pPr>
              <w:pStyle w:val="null3"/>
              <w:jc w:val="center"/>
            </w:pPr>
            <w:r>
              <w:rPr>
                <w:sz w:val="24"/>
              </w:rPr>
              <w:t>64.02元/㎡</w:t>
            </w:r>
          </w:p>
        </w:tc>
        <w:tc>
          <w:tcPr>
            <w:tcW w:type="dxa" w:w="2026"/>
            <w:tcBorders>
              <w:top w:val="none" w:color="000000" w:sz="4"/>
              <w:left w:val="none" w:color="000000" w:sz="4"/>
              <w:bottom w:val="single" w:color="000000" w:sz="4"/>
              <w:right w:val="single" w:color="000000" w:sz="4"/>
            </w:tcBorders>
            <w:tcMar>
              <w:top w:type="dxa" w:w="1"/>
              <w:left w:type="dxa" w:w="1"/>
              <w:bottom w:type="dxa" w:w="0"/>
              <w:right w:type="dxa" w:w="1"/>
            </w:tcMar>
          </w:tcPr>
          <w:p>
            <w:pPr>
              <w:pStyle w:val="null3"/>
              <w:jc w:val="center"/>
            </w:pPr>
            <w:r>
              <w:rPr>
                <w:sz w:val="24"/>
              </w:rPr>
              <w:t>364914</w:t>
            </w:r>
          </w:p>
        </w:tc>
      </w:tr>
      <w:tr>
        <w:tc>
          <w:tcPr>
            <w:tcW w:type="dxa" w:w="1006"/>
            <w:vMerge/>
            <w:tcBorders>
              <w:top w:val="none" w:color="000000" w:sz="4"/>
              <w:left w:val="single" w:color="000000" w:sz="4"/>
              <w:bottom w:val="single" w:color="000000" w:sz="4"/>
              <w:right w:val="single" w:color="000000" w:sz="4"/>
            </w:tcBorders>
          </w:tcPr>
          <w:p/>
        </w:tc>
        <w:tc>
          <w:tcPr>
            <w:tcW w:type="dxa" w:w="1581"/>
            <w:tcBorders>
              <w:top w:val="none" w:color="000000" w:sz="4"/>
              <w:left w:val="none" w:color="000000" w:sz="4"/>
              <w:bottom w:val="single" w:color="000000" w:sz="4"/>
              <w:right w:val="single" w:color="000000" w:sz="4"/>
            </w:tcBorders>
            <w:tcMar>
              <w:top w:type="dxa" w:w="1"/>
              <w:left w:type="dxa" w:w="1"/>
              <w:bottom w:type="dxa" w:w="0"/>
              <w:right w:type="dxa" w:w="1"/>
            </w:tcMar>
          </w:tcPr>
          <w:p>
            <w:pPr>
              <w:pStyle w:val="null3"/>
              <w:jc w:val="center"/>
            </w:pPr>
            <w:r>
              <w:rPr>
                <w:sz w:val="24"/>
              </w:rPr>
              <w:t>渐变绿</w:t>
            </w:r>
          </w:p>
        </w:tc>
        <w:tc>
          <w:tcPr>
            <w:tcW w:type="dxa" w:w="1495"/>
            <w:tcBorders>
              <w:top w:val="none" w:color="000000" w:sz="4"/>
              <w:left w:val="none" w:color="000000" w:sz="4"/>
              <w:bottom w:val="single" w:color="000000" w:sz="4"/>
              <w:right w:val="single" w:color="000000" w:sz="4"/>
            </w:tcBorders>
            <w:tcMar>
              <w:top w:type="dxa" w:w="1"/>
              <w:left w:type="dxa" w:w="1"/>
              <w:bottom w:type="dxa" w:w="0"/>
              <w:right w:type="dxa" w:w="1"/>
            </w:tcMar>
          </w:tcPr>
          <w:p>
            <w:pPr>
              <w:pStyle w:val="null3"/>
              <w:jc w:val="center"/>
            </w:pPr>
            <w:r>
              <w:rPr>
                <w:sz w:val="24"/>
              </w:rPr>
              <w:t>281300</w:t>
            </w:r>
          </w:p>
        </w:tc>
        <w:tc>
          <w:tcPr>
            <w:tcW w:type="dxa" w:w="2199"/>
            <w:tcBorders>
              <w:top w:val="none" w:color="000000" w:sz="4"/>
              <w:left w:val="none" w:color="000000" w:sz="4"/>
              <w:bottom w:val="single" w:color="000000" w:sz="4"/>
              <w:right w:val="single" w:color="000000" w:sz="4"/>
            </w:tcBorders>
            <w:tcMar>
              <w:top w:type="dxa" w:w="1"/>
              <w:left w:type="dxa" w:w="1"/>
              <w:bottom w:type="dxa" w:w="0"/>
              <w:right w:type="dxa" w:w="1"/>
            </w:tcMar>
          </w:tcPr>
          <w:p>
            <w:pPr>
              <w:pStyle w:val="null3"/>
              <w:jc w:val="center"/>
            </w:pPr>
            <w:r>
              <w:rPr>
                <w:sz w:val="24"/>
              </w:rPr>
              <w:t>64.02元/㎡</w:t>
            </w:r>
          </w:p>
        </w:tc>
        <w:tc>
          <w:tcPr>
            <w:tcW w:type="dxa" w:w="2026"/>
            <w:tcBorders>
              <w:top w:val="none" w:color="000000" w:sz="4"/>
              <w:left w:val="none" w:color="000000" w:sz="4"/>
              <w:bottom w:val="single" w:color="000000" w:sz="4"/>
              <w:right w:val="single" w:color="000000" w:sz="4"/>
            </w:tcBorders>
            <w:tcMar>
              <w:top w:type="dxa" w:w="1"/>
              <w:left w:type="dxa" w:w="1"/>
              <w:bottom w:type="dxa" w:w="0"/>
              <w:right w:type="dxa" w:w="1"/>
            </w:tcMar>
          </w:tcPr>
          <w:p>
            <w:pPr>
              <w:pStyle w:val="null3"/>
              <w:jc w:val="center"/>
            </w:pPr>
            <w:r>
              <w:rPr>
                <w:sz w:val="24"/>
              </w:rPr>
              <w:t>18008826</w:t>
            </w:r>
          </w:p>
        </w:tc>
      </w:tr>
      <w:tr>
        <w:tc>
          <w:tcPr>
            <w:tcW w:type="dxa" w:w="1006"/>
            <w:tcBorders>
              <w:top w:val="none" w:color="000000" w:sz="4"/>
              <w:left w:val="single" w:color="000000" w:sz="4"/>
              <w:bottom w:val="single" w:color="000000" w:sz="4"/>
              <w:right w:val="single" w:color="000000" w:sz="4"/>
            </w:tcBorders>
            <w:tcMar>
              <w:top w:type="dxa" w:w="1"/>
              <w:left w:type="dxa" w:w="1"/>
              <w:bottom w:type="dxa" w:w="0"/>
              <w:right w:type="dxa" w:w="1"/>
            </w:tcMar>
          </w:tcPr>
          <w:p>
            <w:pPr>
              <w:pStyle w:val="null3"/>
              <w:jc w:val="center"/>
            </w:pPr>
            <w:r>
              <w:rPr>
                <w:sz w:val="24"/>
              </w:rPr>
              <w:t>烫印膜</w:t>
            </w:r>
          </w:p>
        </w:tc>
        <w:tc>
          <w:tcPr>
            <w:tcW w:type="dxa" w:w="1581"/>
            <w:tcBorders>
              <w:top w:val="none" w:color="000000" w:sz="4"/>
              <w:left w:val="none" w:color="000000" w:sz="4"/>
              <w:bottom w:val="single" w:color="000000" w:sz="4"/>
              <w:right w:val="single" w:color="000000" w:sz="4"/>
            </w:tcBorders>
            <w:tcMar>
              <w:top w:type="dxa" w:w="1"/>
              <w:left w:type="dxa" w:w="1"/>
              <w:bottom w:type="dxa" w:w="0"/>
              <w:right w:type="dxa" w:w="1"/>
            </w:tcMar>
          </w:tcPr>
          <w:p>
            <w:pPr>
              <w:pStyle w:val="null3"/>
              <w:jc w:val="center"/>
            </w:pPr>
            <w:r>
              <w:rPr>
                <w:sz w:val="24"/>
              </w:rPr>
              <w:t>黑色</w:t>
            </w:r>
          </w:p>
        </w:tc>
        <w:tc>
          <w:tcPr>
            <w:tcW w:type="dxa" w:w="1495"/>
            <w:tcBorders>
              <w:top w:val="none" w:color="000000" w:sz="4"/>
              <w:left w:val="none" w:color="000000" w:sz="4"/>
              <w:bottom w:val="single" w:color="000000" w:sz="4"/>
              <w:right w:val="single" w:color="000000" w:sz="4"/>
            </w:tcBorders>
            <w:tcMar>
              <w:top w:type="dxa" w:w="1"/>
              <w:left w:type="dxa" w:w="1"/>
              <w:bottom w:type="dxa" w:w="0"/>
              <w:right w:type="dxa" w:w="1"/>
            </w:tcMar>
          </w:tcPr>
          <w:p>
            <w:pPr>
              <w:pStyle w:val="null3"/>
              <w:jc w:val="center"/>
            </w:pPr>
            <w:r>
              <w:rPr>
                <w:sz w:val="24"/>
              </w:rPr>
              <w:t>287000</w:t>
            </w:r>
          </w:p>
        </w:tc>
        <w:tc>
          <w:tcPr>
            <w:tcW w:type="dxa" w:w="2199"/>
            <w:tcBorders>
              <w:top w:val="none" w:color="000000" w:sz="4"/>
              <w:left w:val="none" w:color="000000" w:sz="4"/>
              <w:bottom w:val="single" w:color="000000" w:sz="4"/>
              <w:right w:val="single" w:color="000000" w:sz="4"/>
            </w:tcBorders>
            <w:tcMar>
              <w:top w:type="dxa" w:w="1"/>
              <w:left w:type="dxa" w:w="1"/>
              <w:bottom w:type="dxa" w:w="0"/>
              <w:right w:type="dxa" w:w="1"/>
            </w:tcMar>
          </w:tcPr>
          <w:p>
            <w:pPr>
              <w:pStyle w:val="null3"/>
              <w:jc w:val="center"/>
            </w:pPr>
            <w:r>
              <w:rPr>
                <w:sz w:val="24"/>
              </w:rPr>
              <w:t>16.18元/㎡</w:t>
            </w:r>
          </w:p>
        </w:tc>
        <w:tc>
          <w:tcPr>
            <w:tcW w:type="dxa" w:w="2026"/>
            <w:tcBorders>
              <w:top w:val="none" w:color="000000" w:sz="4"/>
              <w:left w:val="none" w:color="000000" w:sz="4"/>
              <w:bottom w:val="single" w:color="000000" w:sz="4"/>
              <w:right w:val="single" w:color="000000" w:sz="4"/>
            </w:tcBorders>
            <w:tcMar>
              <w:top w:type="dxa" w:w="1"/>
              <w:left w:type="dxa" w:w="1"/>
              <w:bottom w:type="dxa" w:w="0"/>
              <w:right w:type="dxa" w:w="1"/>
            </w:tcMar>
          </w:tcPr>
          <w:p>
            <w:pPr>
              <w:pStyle w:val="null3"/>
              <w:jc w:val="center"/>
            </w:pPr>
            <w:r>
              <w:rPr>
                <w:sz w:val="24"/>
              </w:rPr>
              <w:t>4643660</w:t>
            </w:r>
          </w:p>
        </w:tc>
      </w:tr>
      <w:tr>
        <w:tc>
          <w:tcPr>
            <w:tcW w:type="dxa" w:w="6281"/>
            <w:gridSpan w:val="4"/>
            <w:tcBorders>
              <w:top w:val="none" w:color="000000" w:sz="4"/>
              <w:left w:val="single" w:color="000000" w:sz="4"/>
              <w:bottom w:val="single" w:color="000000" w:sz="4"/>
              <w:right w:val="single" w:color="000000" w:sz="4"/>
            </w:tcBorders>
            <w:tcMar>
              <w:top w:type="dxa" w:w="1"/>
              <w:left w:type="dxa" w:w="1"/>
              <w:bottom w:type="dxa" w:w="0"/>
              <w:right w:type="dxa" w:w="1"/>
            </w:tcMar>
          </w:tcPr>
          <w:p>
            <w:pPr>
              <w:pStyle w:val="null3"/>
              <w:jc w:val="center"/>
            </w:pPr>
            <w:r>
              <w:rPr>
                <w:sz w:val="24"/>
              </w:rPr>
              <w:t>共计</w:t>
            </w:r>
          </w:p>
        </w:tc>
        <w:tc>
          <w:tcPr>
            <w:tcW w:type="dxa" w:w="2026"/>
            <w:tcBorders>
              <w:top w:val="none" w:color="000000" w:sz="4"/>
              <w:left w:val="none" w:color="000000" w:sz="4"/>
              <w:bottom w:val="single" w:color="000000" w:sz="4"/>
              <w:right w:val="single" w:color="000000" w:sz="4"/>
            </w:tcBorders>
            <w:tcMar>
              <w:top w:type="dxa" w:w="1"/>
              <w:left w:type="dxa" w:w="1"/>
              <w:bottom w:type="dxa" w:w="0"/>
              <w:right w:type="dxa" w:w="1"/>
            </w:tcMar>
          </w:tcPr>
          <w:p>
            <w:pPr>
              <w:pStyle w:val="null3"/>
              <w:jc w:val="center"/>
            </w:pPr>
            <w:r>
              <w:rPr>
                <w:sz w:val="24"/>
              </w:rPr>
              <w:t>23017400</w:t>
            </w:r>
          </w:p>
        </w:tc>
      </w:tr>
    </w:tbl>
    <w:p>
      <w:pPr>
        <w:pStyle w:val="null3"/>
        <w:ind w:firstLine="485"/>
        <w:jc w:val="left"/>
      </w:pPr>
      <w:r>
        <w:rPr>
          <w:sz w:val="24"/>
        </w:rPr>
        <w:t>备注：</w:t>
      </w:r>
    </w:p>
    <w:p>
      <w:pPr>
        <w:pStyle w:val="null3"/>
        <w:ind w:firstLine="485"/>
        <w:jc w:val="left"/>
      </w:pPr>
      <w:r>
        <w:rPr>
          <w:sz w:val="24"/>
        </w:rPr>
        <w:t>1.本项目的核心产品为“渐变绿反光膜”。</w:t>
      </w:r>
    </w:p>
    <w:p>
      <w:pPr>
        <w:pStyle w:val="null3"/>
        <w:ind w:firstLine="485"/>
        <w:jc w:val="left"/>
      </w:pPr>
      <w:r>
        <w:rPr>
          <w:sz w:val="24"/>
        </w:rPr>
        <w:t>2.本项目的主要标的为“渐变绿反光膜”。</w:t>
      </w:r>
    </w:p>
    <w:p>
      <w:pPr>
        <w:pStyle w:val="null3"/>
        <w:ind w:firstLine="485"/>
        <w:jc w:val="left"/>
      </w:pPr>
      <w:r>
        <w:rPr>
          <w:sz w:val="24"/>
        </w:rPr>
        <w:t>3.本项目采购本国产品。投标人的所投产品必须是在中国范围内合法销售，原装、全新、并完全符合采购需求要求的产品。</w:t>
      </w:r>
    </w:p>
    <w:p>
      <w:pPr>
        <w:pStyle w:val="null3"/>
        <w:ind w:firstLine="485"/>
        <w:jc w:val="left"/>
      </w:pPr>
      <w:r>
        <w:rPr>
          <w:sz w:val="24"/>
        </w:rPr>
        <w:t>4.本项目价格包括但不限于货物的设计、生产、包装、仓储、运输、保险以及采购人的培训、技术服务（包括技术资料）、质保期保障服务等全部含税费用。</w:t>
      </w:r>
    </w:p>
    <w:p>
      <w:pPr>
        <w:pStyle w:val="null3"/>
        <w:ind w:firstLine="485"/>
        <w:jc w:val="left"/>
      </w:pPr>
      <w:r>
        <w:rPr>
          <w:sz w:val="24"/>
        </w:rPr>
        <w:t>5.按实际订单量和中标单价结算。在不超出合同总价前提下，采购人有权根据生产情况调整各产品采购数量。</w:t>
      </w:r>
    </w:p>
    <w:p>
      <w:pPr>
        <w:pStyle w:val="null3"/>
        <w:ind w:firstLine="487"/>
        <w:jc w:val="left"/>
      </w:pPr>
      <w:r>
        <w:rPr>
          <w:sz w:val="24"/>
          <w:b/>
        </w:rPr>
        <w:t>（七）★凡超过最高限价的投标报价均视为无效投标。</w:t>
      </w:r>
    </w:p>
    <w:p>
      <w:pPr>
        <w:pStyle w:val="null3"/>
      </w:pPr>
      <w:r>
        <w:rPr/>
        <w:t>采购包1（广东省特种证件制作中心2024-6新能源汽车号牌原材料采购项目）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1年（从合同签订生效之日起）</w:t>
            </w:r>
          </w:p>
        </w:tc>
      </w:tr>
      <w:tr>
        <w:tc>
          <w:tcPr>
            <w:tcW w:type="dxa" w:w="4153"/>
          </w:tcPr>
          <w:p>
            <w:pPr>
              <w:pStyle w:val="null3"/>
            </w:pPr>
            <w:r>
              <w:rPr/>
              <w:t>标的提供的地点</w:t>
            </w:r>
          </w:p>
        </w:tc>
        <w:tc>
          <w:tcPr>
            <w:tcW w:type="dxa" w:w="4153"/>
          </w:tcPr>
          <w:p>
            <w:pPr>
              <w:pStyle w:val="null3"/>
            </w:pPr>
            <w:r>
              <w:rPr/>
              <w:t>广州市天河区天河工业园建中路52号指定位置。</w:t>
            </w:r>
          </w:p>
        </w:tc>
      </w:tr>
      <w:tr>
        <w:tc>
          <w:tcPr>
            <w:tcW w:type="dxa" w:w="4153"/>
          </w:tcPr>
          <w:p>
            <w:pPr>
              <w:pStyle w:val="null3"/>
            </w:pPr>
            <w:r>
              <w:rPr/>
              <w:t>付款方式</w:t>
            </w:r>
          </w:p>
        </w:tc>
        <w:tc>
          <w:tcPr>
            <w:tcW w:type="dxa" w:w="4153"/>
          </w:tcPr>
          <w:p>
            <w:pPr>
              <w:pStyle w:val="null3"/>
            </w:pPr>
            <w:r>
              <w:rPr/>
              <w:t>1期：支付比例100%,按实际入库数量每月结算（次月结算上月到货并验收合格的货品）。 注：（1）双方按照银行转账方式进行结算；（2）采购人在收到中标人提供的正式发票之日起15日内支付货款；（3）每次申请支付货款时，中标人必须提前5个工作日向采购人提供与当期支付款项金额等值的中华人民共和国大陆地区合法有效发票。采购人未收到发票的，有权延期付款，并不视为违约，中标人不得以此追究采购人的违约责任；（4）因采购人使用的是财政资金，前款规定的付款时间为向政府采购支付部门提出办理财政支付申请手续的时间(不含政府财政支付部门审核的时间)，中标人不得以资金付款期限已过为由向采购人索赔或支付违约金；（5）正常情况下，货款每个月结算一次，如果因报账手续办理期间，无法按时支付货款，中标人应按采购人要求，保证所投产品的正常配送，无条件按时供应，不能因货款不到位停止供货。</w:t>
            </w:r>
          </w:p>
        </w:tc>
      </w:tr>
      <w:tr>
        <w:tc>
          <w:tcPr>
            <w:tcW w:type="dxa" w:w="4153"/>
          </w:tcPr>
          <w:p>
            <w:pPr>
              <w:pStyle w:val="null3"/>
            </w:pPr>
            <w:r>
              <w:rPr/>
              <w:t>验收要求</w:t>
            </w:r>
          </w:p>
        </w:tc>
        <w:tc>
          <w:tcPr>
            <w:tcW w:type="dxa" w:w="4153"/>
          </w:tcPr>
          <w:p>
            <w:pPr>
              <w:pStyle w:val="null3"/>
            </w:pPr>
            <w:r>
              <w:rPr/>
              <w:t>1期：1.在每批次货物到达目的地后的三天内由采购人进行验收。对照标准为《机动车号牌用反光膜》（GA666-2018）、《机动车号牌监制规范》（GA/T 1287-2016）、《中华人民共和国机动车号牌》（GA36-2018）、《机动车号牌用烫印膜》（GA/T 1083-2013）的规范要求）以及需求书的要求。 2.当采购人对产品质量提出质疑时，中标人应配合采购人按国家、行业有关的规定、规范进行问题整改。当采购人和中标人对产品质量问题未能达成一致时，采购人有权要求将该批产品送第三方官方检测机构进行检测。验收不合格的，由中标人免费退换合格产品，退换费用由中标人承担。 3.验收时如发现所交付的产品有短装、次品、损坏或其它不符合本合同规定之情形者，由用户单位或中标人作出现场记录。此现场记录可用作补充、缺失和更换产品的有效证据，因此产生的有关费用由中标人承担。 4.中标人保证合同项下提供的产品和设备等不侵犯任何第三方的专利、商标或版权。否则，中标人须承担对第三方的专利或版权的侵权责任并承担因此而发生的所有费用。</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其他，（一）分包：本项目允许分包。 （1）允许分包的内容：黄绿双拼反光膜；渐变绿反光膜；黑色烫印膜。 （2）分包金额（比例）：①投标人提供货物的制造商为大型企业，将采购合同中的一定比例分包给一家或者多家中小企业，分包的合同金额所占比例不低于40%（其中，小微企业所占比例不低于70%）；②投标人提供货物的制造商为中型企业，将采购合同中的一定比例分包给一家或者多家小微企业，分包的合同金额所占比例不低于28%；③投标人投标时提交符合上述比例的《分包意向协议书》和分包意向协议书上述比例全部货物的制造商的承接方的《中小企业声明函（货物）》或由省级以上监狱管理局、戒毒管理局(含新疆生产建设兵团)出具的分包意向协议书上述比例全部货物的制造商属于监狱企业的证明文件或分包意向协议书上述比例全部货物的制造商的《残疾人福利性单位声明函》。 （3）对分包人的资质要求：无。 （4）投标人应当在投标文件中载明拟在中标后将中标项目的非主体、非关键性工作分包的承担主体，分包承担主体应当具备相应资质条件且不得再次分包。</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塑料制品</w:t>
            </w:r>
          </w:p>
        </w:tc>
        <w:tc>
          <w:tcPr>
            <w:tcW w:type="dxa" w:w="831"/>
          </w:tcPr>
          <w:p>
            <w:pPr>
              <w:pStyle w:val="null3"/>
              <w:jc w:val="left"/>
            </w:pPr>
            <w:r>
              <w:rPr/>
              <w:t>新能源汽车号牌原材料采购项目</w:t>
            </w:r>
          </w:p>
        </w:tc>
        <w:tc>
          <w:tcPr>
            <w:tcW w:type="dxa" w:w="831"/>
          </w:tcPr>
          <w:p>
            <w:pPr>
              <w:pStyle w:val="null3"/>
              <w:jc w:val="left"/>
            </w:pPr>
            <w:r>
              <w:rPr/>
              <w:t>批</w:t>
            </w:r>
          </w:p>
        </w:tc>
        <w:tc>
          <w:tcPr>
            <w:tcW w:type="dxa" w:w="831"/>
          </w:tcPr>
          <w:p>
            <w:pPr>
              <w:pStyle w:val="null3"/>
              <w:jc w:val="right"/>
            </w:pPr>
            <w:r>
              <w:rPr/>
              <w:t>1.00</w:t>
            </w:r>
          </w:p>
        </w:tc>
        <w:tc>
          <w:tcPr>
            <w:tcW w:type="dxa" w:w="831"/>
          </w:tcPr>
          <w:p>
            <w:pPr>
              <w:pStyle w:val="null3"/>
              <w:jc w:val="right"/>
            </w:pPr>
            <w:r>
              <w:rPr/>
              <w:t>23,017,400.00</w:t>
            </w:r>
          </w:p>
        </w:tc>
        <w:tc>
          <w:tcPr>
            <w:tcW w:type="dxa" w:w="831"/>
          </w:tcPr>
          <w:p>
            <w:pPr>
              <w:pStyle w:val="null3"/>
              <w:jc w:val="right"/>
            </w:pPr>
            <w:r>
              <w:rPr/>
              <w:t>23,017,400.00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新能源汽车号牌原材料采购项目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4"/>
                <w:b/>
              </w:rPr>
              <w:t>一、技术参数要求</w:t>
            </w:r>
          </w:p>
          <w:p>
            <w:pPr>
              <w:pStyle w:val="null3"/>
              <w:ind w:firstLine="480"/>
              <w:jc w:val="both"/>
            </w:pPr>
            <w:r>
              <w:rPr>
                <w:sz w:val="24"/>
              </w:rPr>
              <w:t>★1.投标人所投新能源汽车号牌反光膜不论在生产制作过程和使用过程中都须符合公共安全行业标准《机动车号牌用反光膜》（GA666-2018）、《机动车号牌监制规范》（GA/T 1287-2016）及《中华人民共和国机动车号牌》（GA36-2018）等规范要求。并提供有效期内的公安部交通安全产品质量监督检测中心的检测报告。在合同期内，如行业标准有新的修订，中标人必须按新的标准要求提供合格产品。</w:t>
            </w:r>
          </w:p>
          <w:p>
            <w:pPr>
              <w:pStyle w:val="null3"/>
              <w:ind w:firstLine="480"/>
              <w:jc w:val="both"/>
            </w:pPr>
            <w:r>
              <w:rPr>
                <w:sz w:val="24"/>
              </w:rPr>
              <w:t>2.投标人所投同批次新能源汽车号牌反光膜应堆放在同一托板上。</w:t>
            </w:r>
          </w:p>
          <w:p>
            <w:pPr>
              <w:pStyle w:val="null3"/>
              <w:ind w:firstLine="480"/>
              <w:jc w:val="both"/>
            </w:pPr>
            <w:r>
              <w:rPr>
                <w:sz w:val="24"/>
              </w:rPr>
              <w:t>3.投标人所投新能源汽车号牌反光膜外表面应平滑、光洁，不应有明显的划痕、气泡、条纹、裂纹、颜色不均匀等缺陷或损伤。</w:t>
            </w:r>
          </w:p>
          <w:p>
            <w:pPr>
              <w:pStyle w:val="null3"/>
              <w:ind w:firstLine="480"/>
              <w:jc w:val="both"/>
            </w:pPr>
            <w:r>
              <w:rPr>
                <w:sz w:val="24"/>
              </w:rPr>
              <w:t>4.投标人所投新能源汽车号牌反光膜表面不同区域的反光效果应均匀，不应有明显差异。</w:t>
            </w:r>
          </w:p>
          <w:p>
            <w:pPr>
              <w:pStyle w:val="null3"/>
              <w:ind w:firstLine="480"/>
              <w:jc w:val="both"/>
            </w:pPr>
            <w:r>
              <w:rPr>
                <w:sz w:val="24"/>
              </w:rPr>
              <w:t>5.投标人所投新能源汽车号牌反光膜表面应有冲压定位色块，两侧的定位色块要均分，前后的定位色块要等距。</w:t>
            </w:r>
          </w:p>
          <w:p>
            <w:pPr>
              <w:pStyle w:val="null3"/>
              <w:ind w:firstLine="480"/>
              <w:jc w:val="both"/>
            </w:pPr>
            <w:r>
              <w:rPr>
                <w:sz w:val="24"/>
              </w:rPr>
              <w:t>6.投标人所投同批新能源汽车号牌反光膜在相同温湿度下，抗拉性能应保持一致。</w:t>
            </w:r>
          </w:p>
          <w:p>
            <w:pPr>
              <w:pStyle w:val="null3"/>
              <w:ind w:firstLine="480"/>
              <w:jc w:val="both"/>
            </w:pPr>
            <w:r>
              <w:rPr>
                <w:sz w:val="24"/>
              </w:rPr>
              <w:t>7.投标人所投新能源汽车号牌反光膜接头处和底纸接头处应平整牢固，没有缝隙，抗拉性能强。</w:t>
            </w:r>
          </w:p>
          <w:p>
            <w:pPr>
              <w:pStyle w:val="null3"/>
              <w:ind w:firstLine="480"/>
              <w:jc w:val="both"/>
            </w:pPr>
            <w:r>
              <w:rPr>
                <w:sz w:val="24"/>
              </w:rPr>
              <w:t>8.投标人所投同批新能源汽车号牌反光膜不得存在肉眼可见色差，经检测的色差数值须符合行业标准。</w:t>
            </w:r>
          </w:p>
          <w:p>
            <w:pPr>
              <w:pStyle w:val="null3"/>
              <w:ind w:firstLine="480"/>
              <w:jc w:val="both"/>
            </w:pPr>
            <w:r>
              <w:rPr>
                <w:sz w:val="24"/>
              </w:rPr>
              <w:t>9.投标人所投新能源汽车号牌反光膜的中心卷筒材料、卷筒内径、卷筒外径规格须统一。</w:t>
            </w:r>
          </w:p>
          <w:p>
            <w:pPr>
              <w:pStyle w:val="null3"/>
              <w:ind w:firstLine="480"/>
              <w:jc w:val="both"/>
            </w:pPr>
            <w:r>
              <w:rPr>
                <w:sz w:val="24"/>
              </w:rPr>
              <w:t>10.投标人所投新能源汽车号牌反光膜须采用多卷整体包装，不接受单卷独立封装。</w:t>
            </w:r>
          </w:p>
          <w:p>
            <w:pPr>
              <w:pStyle w:val="null3"/>
              <w:ind w:firstLine="480"/>
              <w:jc w:val="both"/>
            </w:pPr>
            <w:r>
              <w:rPr>
                <w:sz w:val="24"/>
              </w:rPr>
              <w:t>11.投标人所投新能源汽车号牌反光膜尺寸以采购人实际订单为准。</w:t>
            </w:r>
          </w:p>
          <w:p>
            <w:pPr>
              <w:pStyle w:val="null3"/>
              <w:ind w:firstLine="480"/>
              <w:jc w:val="both"/>
            </w:pPr>
            <w:r>
              <w:rPr>
                <w:sz w:val="24"/>
              </w:rPr>
              <w:t>★12.投标人所投新能源汽车号牌烫印膜不论在生产制作过程和使用过程中都须符合公共安全行业标准《机动车号牌用烫印膜》（GA/T 1083-2013）规范要求，并提供有效期内的公安部交通安全产品质量监督检测中心的检测报告。在合同期内，如行业标准有新的修订，中标人必须按新的标准要求提供合格产品。</w:t>
            </w:r>
          </w:p>
          <w:p>
            <w:pPr>
              <w:pStyle w:val="null3"/>
              <w:ind w:firstLine="480"/>
              <w:jc w:val="left"/>
            </w:pPr>
            <w:r>
              <w:rPr>
                <w:sz w:val="24"/>
              </w:rPr>
              <w:t>13.烫印膜尺寸以采购人实际订单为准。</w:t>
            </w:r>
          </w:p>
        </w:tc>
      </w:tr>
      <w:tr>
        <w:tc>
          <w:tcPr>
            <w:tcW w:type="dxa" w:w="2076"/>
          </w:tcPr>
          <w:p/>
        </w:tc>
        <w:tc>
          <w:tcPr>
            <w:tcW w:type="dxa" w:w="415"/>
          </w:tcPr>
          <w:p>
            <w:pPr>
              <w:pStyle w:val="null3"/>
            </w:pPr>
            <w:r>
              <w:rPr/>
              <w:t>2</w:t>
            </w:r>
          </w:p>
        </w:tc>
        <w:tc>
          <w:tcPr>
            <w:tcW w:type="dxa" w:w="5814"/>
          </w:tcPr>
          <w:p>
            <w:pPr>
              <w:pStyle w:val="null3"/>
              <w:jc w:val="left"/>
            </w:pPr>
            <w:r>
              <w:rPr>
                <w:sz w:val="24"/>
                <w:b/>
              </w:rPr>
              <w:t>二、商务要求</w:t>
            </w:r>
          </w:p>
          <w:p>
            <w:pPr>
              <w:pStyle w:val="null3"/>
              <w:ind w:firstLine="480"/>
              <w:jc w:val="both"/>
            </w:pPr>
            <w:r>
              <w:rPr>
                <w:sz w:val="24"/>
              </w:rPr>
              <w:t>★（一）中标人必须从订单下达之日起7天内按照采购人的要求供应合格产品，确保生产配套工作的顺利开展。（投标时提供承诺函并加盖公章，格式自拟。）</w:t>
            </w:r>
          </w:p>
          <w:p>
            <w:pPr>
              <w:pStyle w:val="null3"/>
              <w:ind w:firstLine="480"/>
              <w:jc w:val="both"/>
            </w:pPr>
            <w:r>
              <w:rPr>
                <w:sz w:val="24"/>
              </w:rPr>
              <w:t>★（二）若因国家政策影响导致采购人无采购需求或无法采购，采购人有权单方面终止合同，中标人不得追究采购人责任。（投标时提供承诺函并加盖公章，格式自拟。）</w:t>
            </w:r>
          </w:p>
        </w:tc>
      </w:tr>
      <w:tr>
        <w:tc>
          <w:tcPr>
            <w:tcW w:type="dxa" w:w="2076"/>
          </w:tcPr>
          <w:p/>
        </w:tc>
        <w:tc>
          <w:tcPr>
            <w:tcW w:type="dxa" w:w="415"/>
          </w:tcPr>
          <w:p>
            <w:pPr>
              <w:pStyle w:val="null3"/>
            </w:pPr>
            <w:r>
              <w:rPr/>
              <w:t>3</w:t>
            </w:r>
          </w:p>
        </w:tc>
        <w:tc>
          <w:tcPr>
            <w:tcW w:type="dxa" w:w="5814"/>
          </w:tcPr>
          <w:p>
            <w:pPr>
              <w:pStyle w:val="null3"/>
              <w:jc w:val="left"/>
            </w:pPr>
            <w:r>
              <w:rPr>
                <w:sz w:val="24"/>
                <w:b/>
              </w:rPr>
              <w:t>三、货物质量保障要求</w:t>
            </w:r>
          </w:p>
          <w:p>
            <w:pPr>
              <w:pStyle w:val="null3"/>
              <w:ind w:firstLine="480"/>
              <w:jc w:val="both"/>
            </w:pPr>
            <w:r>
              <w:rPr>
                <w:sz w:val="24"/>
              </w:rPr>
              <w:t>1.投标人根据本采购需求的要求拟定货物的质量保障措施及方案，货物生产过程中严格按照公共安全行业标准《机动车号牌用反光膜》（GA666-2018）、《机动车号牌监制规范》（GA/T 1287-2016）、《中华人民共和国机动车号牌》（GA36-2018）以及《机动车号牌用烫印膜》（GA/T 1083-2013）的规范要求执行，内容包括但不限于产品原材料的保障，生产过程中的生产环节（工艺）的质量保障措施、质量检测的步骤、方法及措施、产品质量承诺等。</w:t>
            </w:r>
          </w:p>
        </w:tc>
      </w:tr>
      <w:tr>
        <w:tc>
          <w:tcPr>
            <w:tcW w:type="dxa" w:w="2076"/>
          </w:tcPr>
          <w:p/>
        </w:tc>
        <w:tc>
          <w:tcPr>
            <w:tcW w:type="dxa" w:w="415"/>
          </w:tcPr>
          <w:p>
            <w:pPr>
              <w:pStyle w:val="null3"/>
            </w:pPr>
            <w:r>
              <w:rPr/>
              <w:t>4</w:t>
            </w:r>
          </w:p>
        </w:tc>
        <w:tc>
          <w:tcPr>
            <w:tcW w:type="dxa" w:w="5814"/>
          </w:tcPr>
          <w:p>
            <w:pPr>
              <w:pStyle w:val="null3"/>
              <w:jc w:val="left"/>
            </w:pPr>
            <w:r>
              <w:rPr>
                <w:sz w:val="24"/>
                <w:b/>
              </w:rPr>
              <w:t>四、包装、配送及贮存要求</w:t>
            </w:r>
          </w:p>
          <w:p>
            <w:pPr>
              <w:pStyle w:val="null3"/>
              <w:ind w:firstLine="480"/>
              <w:jc w:val="both"/>
            </w:pPr>
            <w:r>
              <w:rPr>
                <w:sz w:val="24"/>
              </w:rPr>
              <w:t>1.中标人根据“技术参数要求”的要求对货物进行包装，货物的包装费应包括在投标报价中，包装材料属采购人所有。</w:t>
            </w:r>
          </w:p>
          <w:p>
            <w:pPr>
              <w:pStyle w:val="null3"/>
              <w:ind w:firstLine="480"/>
              <w:jc w:val="both"/>
            </w:pPr>
            <w:r>
              <w:rPr>
                <w:sz w:val="24"/>
              </w:rPr>
              <w:t>2.货物在贮存及运输途中应避免受到雨淋、暴晒、受潮、撞击和污染，因上述原因造成的损失，由中标人承担。</w:t>
            </w:r>
          </w:p>
          <w:p>
            <w:pPr>
              <w:pStyle w:val="null3"/>
              <w:ind w:firstLine="480"/>
              <w:jc w:val="both"/>
            </w:pPr>
            <w:r>
              <w:rPr>
                <w:sz w:val="24"/>
              </w:rPr>
              <w:t>3.中标人承担产品的配送责任（包括物流车辆、司机及装卸人员、装卸工具等均由中标人负责，并承担相关费用）。</w:t>
            </w:r>
          </w:p>
          <w:p>
            <w:pPr>
              <w:pStyle w:val="null3"/>
              <w:ind w:firstLine="480"/>
              <w:jc w:val="both"/>
            </w:pPr>
            <w:r>
              <w:rPr>
                <w:sz w:val="24"/>
              </w:rPr>
              <w:t>4.中标人必须根据采购人订单的要求，按时按量送货至广州市天河区天河工业园建中路52号指定位置。</w:t>
            </w:r>
          </w:p>
        </w:tc>
      </w:tr>
      <w:tr>
        <w:tc>
          <w:tcPr>
            <w:tcW w:type="dxa" w:w="2076"/>
          </w:tcPr>
          <w:p/>
        </w:tc>
        <w:tc>
          <w:tcPr>
            <w:tcW w:type="dxa" w:w="415"/>
          </w:tcPr>
          <w:p>
            <w:pPr>
              <w:pStyle w:val="null3"/>
            </w:pPr>
            <w:r>
              <w:rPr/>
              <w:t>5</w:t>
            </w:r>
          </w:p>
        </w:tc>
        <w:tc>
          <w:tcPr>
            <w:tcW w:type="dxa" w:w="5814"/>
          </w:tcPr>
          <w:p>
            <w:pPr>
              <w:pStyle w:val="null3"/>
              <w:jc w:val="left"/>
            </w:pPr>
            <w:r>
              <w:rPr>
                <w:sz w:val="24"/>
                <w:b/>
              </w:rPr>
              <w:t>五、售后服务要求</w:t>
            </w:r>
          </w:p>
          <w:p>
            <w:pPr>
              <w:pStyle w:val="null3"/>
              <w:ind w:firstLine="480"/>
              <w:jc w:val="both"/>
            </w:pPr>
            <w:r>
              <w:rPr>
                <w:sz w:val="24"/>
              </w:rPr>
              <w:t>1.中标人需对供应的产品提供为期6年以上的质保期。质保期间存在质量问题的，中标人对所供应产品实行三包，并承担相应的负面影响带来的后果。相同质量问题不得重复出现超过3次。（投标时提供承诺函并加盖公章，格式自拟。）</w:t>
            </w:r>
          </w:p>
          <w:p>
            <w:pPr>
              <w:pStyle w:val="null3"/>
              <w:ind w:firstLine="480"/>
              <w:jc w:val="both"/>
            </w:pPr>
            <w:r>
              <w:rPr>
                <w:sz w:val="24"/>
              </w:rPr>
              <w:t>2.中标人应提供7×24小时的售后服务，如发生质量问题的，在接到</w:t>
            </w:r>
            <w:r>
              <w:rPr>
                <w:sz w:val="24"/>
              </w:rPr>
              <w:t>采购人</w:t>
            </w:r>
            <w:r>
              <w:rPr>
                <w:sz w:val="24"/>
              </w:rPr>
              <w:t>电话后，须在1天内到达现场确认，7天内完成退换货（退回的问题产品应在48小时内运走），所产生的费用由中标人承担。</w:t>
            </w:r>
          </w:p>
          <w:p>
            <w:pPr>
              <w:pStyle w:val="null3"/>
              <w:ind w:firstLine="480"/>
              <w:jc w:val="both"/>
            </w:pPr>
            <w:r>
              <w:rPr>
                <w:sz w:val="24"/>
              </w:rPr>
              <w:t>3.采购人在生产过程中因反光膜或烫印膜质量问题产生废牌的，由中标人按1:2比例进行补偿（即1片废牌补偿2片新能源小车反光膜）。废牌由采购人处理。该补偿服务包括了货物的仓储、运输、服务以及中标人进行补偿的必要开支等全部含税费用。补偿的数量以双方盘点（一季度一次）并签名确认的实际发生数目为准。</w:t>
            </w:r>
          </w:p>
          <w:p>
            <w:pPr>
              <w:pStyle w:val="null3"/>
              <w:ind w:firstLine="480"/>
              <w:jc w:val="both"/>
            </w:pPr>
            <w:r>
              <w:rPr>
                <w:sz w:val="24"/>
              </w:rPr>
              <w:t>4.中标人应及时跟进产品使用情况，每月至少回访一次。出现批量质量问题时，中标人应及时制定解决方案并在采购人要求时间内完成整改。</w:t>
            </w:r>
          </w:p>
          <w:p>
            <w:pPr>
              <w:pStyle w:val="null3"/>
              <w:ind w:firstLine="480"/>
              <w:jc w:val="both"/>
            </w:pPr>
            <w:r>
              <w:rPr>
                <w:sz w:val="24"/>
              </w:rPr>
              <w:t>5.投标人投标时需提交售后服务方案，包括但不限于：①售后服务方式及内容、②售后响应时间承诺、③对出现质量问题的产品退换货处理流程及解决措施、④所投产品质保期、⑤售后服务机构及售后服务人员配置和资历、⑥质保期满后的维护内容及收费标准。</w:t>
            </w:r>
          </w:p>
          <w:p>
            <w:pPr>
              <w:pStyle w:val="null3"/>
              <w:ind w:firstLine="480"/>
              <w:jc w:val="both"/>
            </w:pPr>
            <w:r>
              <w:rPr>
                <w:sz w:val="24"/>
              </w:rPr>
              <w:t>6.投标人投标时需提交应急处理方案，包括但不限于：①出现批量质量问题时的解决方案、②提供的产品质量、规格、型号或品种等不符合合同约定，导致采购人生产效率和质量受影响或造成采购人停工等恶劣影响的解决方案等。</w:t>
            </w:r>
          </w:p>
        </w:tc>
      </w:tr>
      <w:tr>
        <w:tc>
          <w:tcPr>
            <w:tcW w:type="dxa" w:w="2076"/>
          </w:tcPr>
          <w:p/>
        </w:tc>
        <w:tc>
          <w:tcPr>
            <w:tcW w:type="dxa" w:w="415"/>
          </w:tcPr>
          <w:p>
            <w:pPr>
              <w:pStyle w:val="null3"/>
            </w:pPr>
            <w:r>
              <w:rPr/>
              <w:t>6</w:t>
            </w:r>
          </w:p>
        </w:tc>
        <w:tc>
          <w:tcPr>
            <w:tcW w:type="dxa" w:w="5814"/>
          </w:tcPr>
          <w:p>
            <w:pPr>
              <w:pStyle w:val="null3"/>
              <w:jc w:val="left"/>
            </w:pPr>
            <w:r>
              <w:rPr>
                <w:sz w:val="24"/>
                <w:b/>
              </w:rPr>
              <w:t>六、违约责任</w:t>
            </w:r>
          </w:p>
          <w:p>
            <w:pPr>
              <w:pStyle w:val="null3"/>
              <w:ind w:firstLine="480"/>
              <w:jc w:val="left"/>
            </w:pPr>
            <w:r>
              <w:rPr>
                <w:sz w:val="24"/>
              </w:rPr>
              <w:t>★（一）中标人未能按订单要求期限供应合格产品的（经过采购人质检合格的），每逾期一日，中标人应按合同总金额的0.1%向采购人支付违约金。逾期交付产品累计超过7天，采购人有权直接解除合同，解除合同的通知送达中标人后生效。采购人也可要求中标人承担违约责任后继续履行合同；若采购人要求解除合同，中标人应退还已收取的全部款项，并向采购人支付合同总金额的30%作为违约金。（投标时提供承诺函并加盖公章，格式自拟。）</w:t>
            </w:r>
          </w:p>
          <w:p>
            <w:pPr>
              <w:pStyle w:val="null3"/>
              <w:ind w:firstLine="480"/>
              <w:jc w:val="left"/>
            </w:pPr>
            <w:r>
              <w:rPr>
                <w:sz w:val="24"/>
              </w:rPr>
              <w:t>★（二）违约金不足以弥补给采购人造成的损失，采购人还可根据实际损失要求中标人承担赔偿责任。实际损失由采购人指定的第三方评估机构评估，所需费用由中标人承担。（投标时提供承诺函并加盖公章，格式自拟。）</w:t>
            </w:r>
          </w:p>
          <w:p>
            <w:pPr>
              <w:pStyle w:val="null3"/>
              <w:ind w:firstLine="480"/>
              <w:jc w:val="left"/>
            </w:pPr>
            <w:r>
              <w:rPr>
                <w:sz w:val="24"/>
              </w:rPr>
              <w:t>★（三）中标人提供的产品质量、规格、型号或品种等不符合合同约定，造成采购人停工等恶劣影响的，采购人可要求中标人更换或退货，并要求中标人支付合同总金额的30%作为违约金，更换产品的退货时间计入双方约定的供货时间内，由此产生的费用由中标人承担。（投标时提供承诺函并加盖公章，格式自拟。）</w:t>
            </w:r>
          </w:p>
          <w:p>
            <w:pPr>
              <w:pStyle w:val="null3"/>
              <w:ind w:firstLine="480"/>
              <w:jc w:val="left"/>
            </w:pPr>
            <w:r>
              <w:rPr>
                <w:sz w:val="24"/>
              </w:rPr>
              <w:t>★（四）中标人提供的产品质量、规格、型号、品种等不符合合同约定的，或者不能按合同的数量和时限等要求进行供应，导致采购人生产效率和质量受影响的，采购人根据问题大小可采取电话告知、约谈、发函警告（或整改通知书）、终止合同等方式进行处罚。每一次约谈或者发函警告（或整改通知书），采购人有权视问题严重性要求中标人缴纳合同总金额的0.1%作为违约金。如出现终止合同处罚，在采购人向中标人作出终止合同的通知后，双方之间的采购合同自通知到达中标人之日终止。合同终止后，在采购人与第三人签订新的采购合同之前，为保障采购人生产工作的延续性，中标人承诺仍会按照原合同的要求，根据采购人的需求，向采购人临时供货，临时供货期间的费用双方依据原合同的标准据实结算。（投标时提供承诺函并加盖公章，格式自拟。）</w:t>
            </w:r>
          </w:p>
          <w:p>
            <w:pPr>
              <w:pStyle w:val="null3"/>
              <w:ind w:firstLine="480"/>
              <w:jc w:val="left"/>
            </w:pPr>
            <w:r>
              <w:rPr>
                <w:sz w:val="24"/>
              </w:rPr>
              <w:t>★（五）中标人无法提供本合同中的全部或部分产品，采购人可终止合同并通知中标人提供担保，如中标人未能在5个工作日内提供担保，采购人可提前解除合同。合同解除后，中标人应退还已收取的全部款项，并按合同总金额的30 %向采购人支付违约金，若违约金不足弥补采购人因此所遭受的损失，采购人还可根据实际损失要求中标人承担赔偿责任。解除合同之后产生的拆卸、运输、仓储等后续费用由中标人负责。（投标时提供承诺函并加盖公章，格式自拟。）</w:t>
            </w:r>
          </w:p>
          <w:p>
            <w:pPr>
              <w:pStyle w:val="null3"/>
              <w:ind w:firstLine="480"/>
              <w:jc w:val="both"/>
            </w:pPr>
            <w:r>
              <w:rPr>
                <w:sz w:val="24"/>
              </w:rPr>
              <w:t>（六）如因中标人违约产生了包括但不限于违约金、仓储费、运输费等违约费用，采购人有权在未结款项中予以先行扣除，不足部分中标人应当予以补足。</w:t>
            </w:r>
          </w:p>
        </w:tc>
      </w:tr>
      <w:tr>
        <w:tc>
          <w:tcPr>
            <w:tcW w:type="dxa" w:w="2076"/>
          </w:tcPr>
          <w:p/>
        </w:tc>
        <w:tc>
          <w:tcPr>
            <w:tcW w:type="dxa" w:w="415"/>
          </w:tcPr>
          <w:p>
            <w:pPr>
              <w:pStyle w:val="null3"/>
            </w:pPr>
            <w:r>
              <w:rPr/>
              <w:t>7</w:t>
            </w:r>
          </w:p>
        </w:tc>
        <w:tc>
          <w:tcPr>
            <w:tcW w:type="dxa" w:w="5814"/>
          </w:tcPr>
          <w:p>
            <w:pPr>
              <w:pStyle w:val="null3"/>
              <w:jc w:val="left"/>
            </w:pPr>
            <w:r>
              <w:rPr>
                <w:sz w:val="24"/>
                <w:b/>
              </w:rPr>
              <w:t>七、样品要求</w:t>
            </w:r>
          </w:p>
          <w:p>
            <w:pPr>
              <w:pStyle w:val="null3"/>
              <w:ind w:firstLine="480"/>
              <w:jc w:val="both"/>
            </w:pPr>
            <w:r>
              <w:rPr>
                <w:sz w:val="24"/>
              </w:rPr>
              <w:t>1.投标人在递交投标文件的同时须按照以下要求提供样品：</w:t>
            </w:r>
          </w:p>
          <w:tbl>
            <w:tblPr>
              <w:tblBorders>
                <w:top w:val="none" w:color="000000" w:sz="4"/>
                <w:left w:val="none" w:color="000000" w:sz="4"/>
                <w:bottom w:val="none" w:color="000000" w:sz="4"/>
                <w:right w:val="none" w:color="000000" w:sz="4"/>
                <w:insideH w:val="none"/>
                <w:insideV w:val="none"/>
              </w:tblBorders>
            </w:tblPr>
            <w:tblGrid>
              <w:gridCol w:w="627"/>
              <w:gridCol w:w="1836"/>
              <w:gridCol w:w="707"/>
              <w:gridCol w:w="2428"/>
            </w:tblGrid>
            <w:tr>
              <w:tc>
                <w:tcPr>
                  <w:tcW w:type="dxa" w:w="627"/>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序号</w:t>
                  </w:r>
                </w:p>
              </w:tc>
              <w:tc>
                <w:tcPr>
                  <w:tcW w:type="dxa" w:w="1836"/>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样品名称</w:t>
                  </w:r>
                </w:p>
              </w:tc>
              <w:tc>
                <w:tcPr>
                  <w:tcW w:type="dxa" w:w="707"/>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规格</w:t>
                  </w:r>
                </w:p>
              </w:tc>
              <w:tc>
                <w:tcPr>
                  <w:tcW w:type="dxa" w:w="2428"/>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样品要求</w:t>
                  </w:r>
                </w:p>
              </w:tc>
            </w:tr>
            <w:tr>
              <w:tc>
                <w:tcPr>
                  <w:tcW w:type="dxa" w:w="62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c>
                <w:tcPr>
                  <w:tcW w:type="dxa" w:w="183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反光膜（黄绿双拼）</w:t>
                  </w:r>
                </w:p>
              </w:tc>
              <w:tc>
                <w:tcPr>
                  <w:tcW w:type="dxa" w:w="7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20米</w:t>
                  </w:r>
                </w:p>
              </w:tc>
              <w:tc>
                <w:tcPr>
                  <w:tcW w:type="dxa" w:w="24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采购需求“一、技术参数要求”的要求</w:t>
                  </w:r>
                </w:p>
              </w:tc>
            </w:tr>
            <w:tr>
              <w:tc>
                <w:tcPr>
                  <w:tcW w:type="dxa" w:w="62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w:t>
                  </w:r>
                </w:p>
              </w:tc>
              <w:tc>
                <w:tcPr>
                  <w:tcW w:type="dxa" w:w="183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反光膜（渐变绿）</w:t>
                  </w:r>
                </w:p>
              </w:tc>
              <w:tc>
                <w:tcPr>
                  <w:tcW w:type="dxa" w:w="7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20米</w:t>
                  </w:r>
                </w:p>
              </w:tc>
              <w:tc>
                <w:tcPr>
                  <w:tcW w:type="dxa" w:w="24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采购需求“一、</w:t>
                  </w:r>
                  <w:r>
                    <w:rPr>
                      <w:sz w:val="24"/>
                    </w:rPr>
                    <w:t>技术参数要求</w:t>
                  </w:r>
                  <w:r>
                    <w:rPr>
                      <w:sz w:val="24"/>
                    </w:rPr>
                    <w:t>”的要求</w:t>
                  </w:r>
                </w:p>
              </w:tc>
            </w:tr>
            <w:tr>
              <w:tc>
                <w:tcPr>
                  <w:tcW w:type="dxa" w:w="62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3</w:t>
                  </w:r>
                </w:p>
              </w:tc>
              <w:tc>
                <w:tcPr>
                  <w:tcW w:type="dxa" w:w="183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烫印膜（黑色）</w:t>
                  </w:r>
                </w:p>
              </w:tc>
              <w:tc>
                <w:tcPr>
                  <w:tcW w:type="dxa" w:w="7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3卷</w:t>
                  </w:r>
                </w:p>
              </w:tc>
              <w:tc>
                <w:tcPr>
                  <w:tcW w:type="dxa" w:w="24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采购需求“一、</w:t>
                  </w:r>
                  <w:r>
                    <w:rPr>
                      <w:sz w:val="24"/>
                    </w:rPr>
                    <w:t>技术参数要求</w:t>
                  </w:r>
                  <w:r>
                    <w:rPr>
                      <w:sz w:val="24"/>
                    </w:rPr>
                    <w:t>”的要求</w:t>
                  </w:r>
                </w:p>
              </w:tc>
            </w:tr>
          </w:tbl>
          <w:p>
            <w:pPr>
              <w:pStyle w:val="null3"/>
              <w:ind w:firstLine="480"/>
              <w:jc w:val="both"/>
            </w:pPr>
            <w:r>
              <w:rPr>
                <w:sz w:val="24"/>
              </w:rPr>
              <w:t>2.投标人应于在投标截止时间前将密封的样品送达开标地点（广州市越秀区沿江中路298号江湾新城A座8楼），否则，采购人或采购代理机构应当拒收。（为便于操作，请投标人尽可能在提交投标截止时间前1小时内提交投标样品）。</w:t>
            </w:r>
          </w:p>
          <w:p>
            <w:pPr>
              <w:pStyle w:val="null3"/>
              <w:ind w:firstLine="480"/>
              <w:jc w:val="both"/>
            </w:pPr>
            <w:r>
              <w:rPr>
                <w:sz w:val="24"/>
              </w:rPr>
              <w:t>3.每个样品必须列明样品名称，标识清楚。</w:t>
            </w:r>
          </w:p>
          <w:p>
            <w:pPr>
              <w:pStyle w:val="null3"/>
              <w:ind w:firstLine="480"/>
              <w:jc w:val="both"/>
            </w:pPr>
            <w:r>
              <w:rPr>
                <w:sz w:val="24"/>
              </w:rPr>
              <w:t>4.采购任务完结之后，中标人的样品封存于采购人单位，以便采购人日后对货物质量的核对。采购人及采购代理机构对投标人所递交样品的破损或质量不承担任何责任。</w:t>
            </w:r>
          </w:p>
          <w:p>
            <w:pPr>
              <w:pStyle w:val="null3"/>
              <w:ind w:firstLine="480"/>
              <w:jc w:val="both"/>
            </w:pPr>
            <w:r>
              <w:rPr>
                <w:sz w:val="24"/>
              </w:rPr>
              <w:t>5.未中标的投标人应在本项目中标公告发布之日起3个工作日内自行至采购代理机构取回投标样品。3个工作日后投标人不取回样品，则视为同意采购代理机构有权自行处置相关样品。</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1.采购代理机构：本项目是指广州程启招标代理有限公司，负责整个采购活动的组织，依法负责编制和发布招标文件，对招标文件拥有最终的解释权，不以任何身份出任评标委员会成员。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广东省特种证件制作中心</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无：本项目不适用。</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代理服务费以中标金额作为收费的计算基数，收取标准按下列标准实行差额定率累进法收费：中标金额在100万以下的，代理服务费按1.5%计算；101万到500万的，按1.1%计算；501万到1000万的，按0.8%计算；1001万到5000万的，按0.5%计算……注：（1）中标服务费以人民币支付。（2）中标服务费支付方式：一次性以电汇、支票或现金等形式支付。（3）如中标人放弃中标或因违法违规行为被取消中标资格的，代理服务费不予退还。</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具体情况根据开标时现场代理机构人员设置为准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采购包1：面向中小企业，以合同分包形式预留，预留比例：40%。</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广州程启招标代理有限公司</w:t>
      </w:r>
      <w:r>
        <w:rPr/>
        <w:t>代收。具体操作要求详见</w:t>
      </w:r>
      <w:r>
        <w:rPr/>
        <w:t>广州程启招标代理有限公司</w:t>
      </w:r>
      <w:r>
        <w:rPr/>
        <w:t>有关指引，递交事宜请自行咨询</w:t>
      </w:r>
      <w:r>
        <w:rPr/>
        <w:t>广州程启招标代理有限公司</w:t>
      </w:r>
      <w:r>
        <w:rPr/>
        <w:t>；请各投标人在投标文件递交截止时间前按须知前附表规定的金额递交至</w:t>
      </w:r>
      <w:r>
        <w:rPr/>
        <w:t>广州程启招标代理有限公司</w:t>
      </w:r>
      <w:r>
        <w:rPr/>
        <w:t>，到账情况以开标时</w:t>
      </w:r>
      <w:r>
        <w:rPr/>
        <w:t>广州程启招标代理有限公司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广州程启招标代理有限公司网（www.gzcqc.com）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广州程启招标代理有限公司网（www.gzcqc.com）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朱小姐</w:t>
      </w:r>
    </w:p>
    <w:p>
      <w:pPr>
        <w:pStyle w:val="null3"/>
        <w:ind w:firstLine="480"/>
      </w:pPr>
      <w:r>
        <w:rPr/>
        <w:t>电话：</w:t>
      </w:r>
      <w:r>
        <w:rPr/>
        <w:t>020-83576900</w:t>
      </w:r>
    </w:p>
    <w:p>
      <w:pPr>
        <w:pStyle w:val="null3"/>
        <w:ind w:firstLine="480"/>
      </w:pPr>
      <w:r>
        <w:rPr/>
        <w:t>传真：</w:t>
      </w:r>
      <w:r>
        <w:rPr/>
        <w:t>83499619</w:t>
      </w:r>
    </w:p>
    <w:p>
      <w:pPr>
        <w:pStyle w:val="null3"/>
        <w:ind w:firstLine="480"/>
      </w:pPr>
      <w:r>
        <w:rPr/>
        <w:t>邮箱：</w:t>
      </w:r>
      <w:r>
        <w:rPr/>
        <w:t>gzcqc2006@163.com</w:t>
      </w:r>
    </w:p>
    <w:p>
      <w:pPr>
        <w:pStyle w:val="null3"/>
        <w:ind w:firstLine="480"/>
      </w:pPr>
      <w:r>
        <w:rPr/>
        <w:t>地址：</w:t>
      </w:r>
      <w:r>
        <w:rPr/>
        <w:t>广州市越秀区沿江中路298号江湾新城A座8楼</w:t>
      </w:r>
    </w:p>
    <w:p>
      <w:pPr>
        <w:pStyle w:val="null3"/>
        <w:ind w:firstLine="480"/>
      </w:pPr>
      <w:r>
        <w:rPr/>
        <w:t>邮编：</w:t>
      </w:r>
      <w:r>
        <w:rPr/>
        <w:t>510110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政府采购监督管理机构名称：广东省财政厅政府采购监管处</w:t>
      </w:r>
    </w:p>
    <w:p>
      <w:pPr>
        <w:pStyle w:val="null3"/>
      </w:pPr>
      <w:r>
        <w:rPr/>
        <w:t>地 址：广州市越秀区北京路376号北裙楼313室</w:t>
      </w:r>
    </w:p>
    <w:p>
      <w:pPr>
        <w:pStyle w:val="null3"/>
      </w:pPr>
      <w:r>
        <w:rPr/>
        <w:t>电 话：020-83188580、83188500、83188511、83188586</w:t>
      </w:r>
    </w:p>
    <w:p>
      <w:pPr>
        <w:pStyle w:val="null3"/>
      </w:pPr>
      <w:r>
        <w:rPr/>
        <w:t>邮 编：510030</w:t>
      </w:r>
    </w:p>
    <w:p>
      <w:pPr>
        <w:pStyle w:val="null3"/>
      </w:pPr>
      <w:r>
        <w:rPr/>
        <w:t>传 真：020-83357559</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1.3合同条款中应规定，乙方完全遵守《中华人民共和国劳动合同法》有关规定和《中华人民共和国妇女权益保障法》中关于“劳动和社会保障权益”的有关要求。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广东省特种证件制作中心2024-6新能源汽车号牌原材料采购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广州程启招标代理有限公司</w:t>
      </w:r>
      <w:r>
        <w:rPr/>
        <w:t>统一对外发布。</w:t>
      </w:r>
    </w:p>
    <w:p>
      <w:pPr>
        <w:pStyle w:val="null3"/>
        <w:ind w:firstLine="480"/>
      </w:pPr>
      <w:r>
        <w:rPr/>
        <w:t>（2）对</w:t>
      </w:r>
      <w:r>
        <w:rPr/>
        <w:t>广州程启招标代理有限公司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采购包1（广东省特种证件制作中心2024-6新能源汽车号牌原材料采购项目）：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采购包1（广东省特种证件制作中心2024-6新能源汽车号牌原材料采购项目）：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提供投标截止日前6个月内任意1个月依法缴纳税收和社会保障资金的相关材料。如依法免税或不需要缴纳社会保障资金的， 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供应商必须具有良好的商业信誉和健全的财务会计制度（提供以下2种证明材料之一：①2022年度或2023年度经会计师事务所审计的财务状况报告；②基本开户行出具的资信证明和《基本存款账号信息》）。</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投标人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代理机构于评审当天在“信用中国”网站（www.creditchina.gov.cn）及中国政府采购网（http://www.ccgp.gov.cn/）查询结果为准，如相关失信记录已失效，投标人需提供相关证明资料）</w:t>
            </w:r>
          </w:p>
        </w:tc>
      </w:tr>
      <w:tr>
        <w:tc>
          <w:tcPr>
            <w:tcW w:type="dxa" w:w="890"/>
          </w:tcPr>
          <w:p>
            <w:pPr>
              <w:pStyle w:val="null3"/>
            </w:pPr>
            <w:r>
              <w:rPr/>
              <w:t>7</w:t>
            </w:r>
          </w:p>
        </w:tc>
        <w:tc>
          <w:tcPr>
            <w:tcW w:type="dxa" w:w="3178"/>
          </w:tcPr>
          <w:p>
            <w:pPr>
              <w:pStyle w:val="null3"/>
            </w:pPr>
            <w:r>
              <w:rPr/>
              <w:t>单位负责人为同一人或者存在直接控股、管理关系的不同供应商，不得参加同一合同项下的政府采购活动。（依据《投标函》）</w:t>
            </w:r>
          </w:p>
        </w:tc>
        <w:tc>
          <w:tcPr>
            <w:tcW w:type="dxa" w:w="4238"/>
          </w:tcPr>
          <w:p>
            <w:pPr>
              <w:pStyle w:val="null3"/>
            </w:pPr>
            <w:r>
              <w:rPr/>
              <w:t>单位负责人为同一人或者存在直接控股、管理关系的不同供应商，不得参加同一合同项下的政府采购活动。（依据《投标函》）</w:t>
            </w:r>
          </w:p>
        </w:tc>
      </w:tr>
      <w:tr>
        <w:tc>
          <w:tcPr>
            <w:tcW w:type="dxa" w:w="890"/>
          </w:tcPr>
          <w:p>
            <w:pPr>
              <w:pStyle w:val="null3"/>
            </w:pPr>
            <w:r>
              <w:rPr/>
              <w:t>8</w:t>
            </w:r>
          </w:p>
        </w:tc>
        <w:tc>
          <w:tcPr>
            <w:tcW w:type="dxa" w:w="3178"/>
          </w:tcPr>
          <w:p>
            <w:pPr>
              <w:pStyle w:val="null3"/>
            </w:pPr>
            <w:r>
              <w:rPr/>
              <w:t>为采购项目提供整体设计、规范编制或者项目管理、监理、检测等服务的供应商，不得再参加该采购项目的其他采购活动。（依据《投标函》）</w:t>
            </w:r>
          </w:p>
        </w:tc>
        <w:tc>
          <w:tcPr>
            <w:tcW w:type="dxa" w:w="4238"/>
          </w:tcPr>
          <w:p>
            <w:pPr>
              <w:pStyle w:val="null3"/>
            </w:pPr>
            <w:r>
              <w:rPr/>
              <w:t>为采购项目提供整体设计、规范编制或者项目管理、监理、检测等服务的供应商，不得再参加该采购项目的其他采购活动。（依据《投标函》）</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本项目预留部分采购预算份额专门面向中小企业采购，预留合同金额40%面向中小企业采购，其中70%预留给小微企业。投标人须满足以下情形之一： ①投标人提供货物全部由小微企业生产且使用该小微企业商号或注册商标。须符合本项目采购标的对应行业（本项目所属行业为“工业”）政策划分标准的小微企业。投标时提供《中小企业声明函（货物）》或由省级以上监狱管理局、戒毒管理局（含新疆生产建设兵团）出具的属于监狱企业的证明文件或《残疾人福利性单位声明函》。 ②投标人提供货物由中型企业生产且使用该中型企业商号或注册商标。投标人应将适宜分包的内容分包给小微企业，分包金额须达到合同金额28%或以上。分包企业须符合本项目采购标的对应行业（本项目所属行业为“工业”）政策划分标准的中小微企业，接受分包合同的中小企业与分包企业之间不得存在直接控股、管理关系。投标人投标时提交符合上述比例的《分包意向协议书》和分包意向协议书上述比例全部货物的制造商的承接方的《中小企业声明函（货物）》或由省级以上监狱管理局、戒毒管理局(含新疆生产建设兵团)出具的分包意向协议上述比例全部货物的制造商属于监狱企业的证明文件或分包意向协议书上述比例全部货物的制造商的《残疾人福利性单位声明函》。 ③投标人提供货物大型企业生产。投标人应将适宜分包的内容分包给中小微企业，分包金额须达到合同金额40%或以上（其中，小微企业所占比例不低于70%）。分包企业须符合本项目采购标的对应行业（本项目所属行业为“工业”）政策划分标准的中小微企业，接受分包合同的中小企业与分包企业之间不得存在直接控股、管理关系。投标人投标时提交符合上述比例的《分包意向协议书》和分包意向协议书上述比例全部货物的制造商的承接方的《中小企业声明函（货物）》或由省级以上监狱管理局、戒毒管理局(含新疆生产建设兵团)出具的分包意向协议书上述比例全部货物的制造商属于监狱企业的证明文件或分包意向协议书上述比例全部货物的制造商的《残疾人福利性单位声明函》。</w:t>
            </w:r>
          </w:p>
        </w:tc>
      </w:tr>
    </w:tbl>
    <w:p>
      <w:pPr>
        <w:pStyle w:val="null3"/>
        <w:ind w:firstLine="480"/>
      </w:pPr>
      <w:r>
        <w:rPr/>
        <w:t>表二符合性审查表：</w:t>
      </w:r>
    </w:p>
    <w:p>
      <w:pPr>
        <w:pStyle w:val="null3"/>
      </w:pPr>
      <w:r>
        <w:rPr/>
        <w:t>采购包1（广东省特种证件制作中心2024-6新能源汽车号牌原材料采购项目）：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合同履行期限要求</w:t>
            </w:r>
          </w:p>
        </w:tc>
        <w:tc>
          <w:tcPr>
            <w:tcW w:type="dxa" w:w="4238"/>
          </w:tcPr>
          <w:p>
            <w:pPr>
              <w:pStyle w:val="null3"/>
            </w:pPr>
            <w:r>
              <w:rPr/>
              <w:t>是否满足项目的合同履行期限要求。</w:t>
            </w:r>
          </w:p>
        </w:tc>
      </w:tr>
      <w:tr>
        <w:tc>
          <w:tcPr>
            <w:tcW w:type="dxa" w:w="890"/>
          </w:tcPr>
          <w:p>
            <w:pPr>
              <w:pStyle w:val="null3"/>
            </w:pPr>
            <w:r>
              <w:rPr/>
              <w:t>2</w:t>
            </w:r>
          </w:p>
        </w:tc>
        <w:tc>
          <w:tcPr>
            <w:tcW w:type="dxa" w:w="3178"/>
          </w:tcPr>
          <w:p>
            <w:pPr>
              <w:pStyle w:val="null3"/>
            </w:pPr>
            <w:r>
              <w:rPr/>
              <w:t>签署盖章要求</w:t>
            </w:r>
          </w:p>
        </w:tc>
        <w:tc>
          <w:tcPr>
            <w:tcW w:type="dxa" w:w="4238"/>
          </w:tcPr>
          <w:p>
            <w:pPr>
              <w:pStyle w:val="null3"/>
            </w:pPr>
            <w:r>
              <w:rPr/>
              <w:t>是否符合招标文件的签署盖章要求。</w:t>
            </w:r>
          </w:p>
        </w:tc>
      </w:tr>
      <w:tr>
        <w:tc>
          <w:tcPr>
            <w:tcW w:type="dxa" w:w="890"/>
          </w:tcPr>
          <w:p>
            <w:pPr>
              <w:pStyle w:val="null3"/>
            </w:pPr>
            <w:r>
              <w:rPr/>
              <w:t>3</w:t>
            </w:r>
          </w:p>
        </w:tc>
        <w:tc>
          <w:tcPr>
            <w:tcW w:type="dxa" w:w="3178"/>
          </w:tcPr>
          <w:p>
            <w:pPr>
              <w:pStyle w:val="null3"/>
            </w:pPr>
            <w:r>
              <w:rPr/>
              <w:t>投标有效期</w:t>
            </w:r>
          </w:p>
        </w:tc>
        <w:tc>
          <w:tcPr>
            <w:tcW w:type="dxa" w:w="4238"/>
          </w:tcPr>
          <w:p>
            <w:pPr>
              <w:pStyle w:val="null3"/>
            </w:pPr>
            <w:r>
              <w:rPr/>
              <w:t>投标有效期是否为90天。</w:t>
            </w:r>
          </w:p>
        </w:tc>
      </w:tr>
      <w:tr>
        <w:tc>
          <w:tcPr>
            <w:tcW w:type="dxa" w:w="890"/>
          </w:tcPr>
          <w:p>
            <w:pPr>
              <w:pStyle w:val="null3"/>
            </w:pPr>
            <w:r>
              <w:rPr/>
              <w:t>4</w:t>
            </w:r>
          </w:p>
        </w:tc>
        <w:tc>
          <w:tcPr>
            <w:tcW w:type="dxa" w:w="3178"/>
          </w:tcPr>
          <w:p>
            <w:pPr>
              <w:pStyle w:val="null3"/>
            </w:pPr>
            <w:r>
              <w:rPr/>
              <w:t>法定代表人证明书/法定代表人授权书</w:t>
            </w:r>
          </w:p>
        </w:tc>
        <w:tc>
          <w:tcPr>
            <w:tcW w:type="dxa" w:w="4238"/>
          </w:tcPr>
          <w:p>
            <w:pPr>
              <w:pStyle w:val="null3"/>
            </w:pPr>
            <w:r>
              <w:rPr/>
              <w:t>是否按规定提交法定代表人证明书/法定代表人授权书。</w:t>
            </w:r>
          </w:p>
        </w:tc>
      </w:tr>
      <w:tr>
        <w:tc>
          <w:tcPr>
            <w:tcW w:type="dxa" w:w="890"/>
          </w:tcPr>
          <w:p>
            <w:pPr>
              <w:pStyle w:val="null3"/>
            </w:pPr>
            <w:r>
              <w:rPr/>
              <w:t>5</w:t>
            </w:r>
          </w:p>
        </w:tc>
        <w:tc>
          <w:tcPr>
            <w:tcW w:type="dxa" w:w="3178"/>
          </w:tcPr>
          <w:p>
            <w:pPr>
              <w:pStyle w:val="null3"/>
            </w:pPr>
            <w:r>
              <w:rPr/>
              <w:t>投标报价要求</w:t>
            </w:r>
          </w:p>
        </w:tc>
        <w:tc>
          <w:tcPr>
            <w:tcW w:type="dxa" w:w="4238"/>
          </w:tcPr>
          <w:p>
            <w:pPr>
              <w:pStyle w:val="null3"/>
            </w:pPr>
            <w:r>
              <w:rPr/>
              <w:t>投标报价是否固定唯一，且投标报价没有超过最高限价。</w:t>
            </w:r>
          </w:p>
        </w:tc>
      </w:tr>
      <w:tr>
        <w:tc>
          <w:tcPr>
            <w:tcW w:type="dxa" w:w="890"/>
          </w:tcPr>
          <w:p>
            <w:pPr>
              <w:pStyle w:val="null3"/>
            </w:pPr>
            <w:r>
              <w:rPr/>
              <w:t>6</w:t>
            </w:r>
          </w:p>
        </w:tc>
        <w:tc>
          <w:tcPr>
            <w:tcW w:type="dxa" w:w="3178"/>
          </w:tcPr>
          <w:p>
            <w:pPr>
              <w:pStyle w:val="null3"/>
            </w:pPr>
            <w:r>
              <w:rPr/>
              <w:t>报价合理性</w:t>
            </w:r>
          </w:p>
        </w:tc>
        <w:tc>
          <w:tcPr>
            <w:tcW w:type="dxa" w:w="4238"/>
          </w:tcPr>
          <w:p>
            <w:pPr>
              <w:pStyle w:val="null3"/>
            </w:pPr>
            <w:r>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tc>
      </w:tr>
      <w:tr>
        <w:tc>
          <w:tcPr>
            <w:tcW w:type="dxa" w:w="890"/>
          </w:tcPr>
          <w:p>
            <w:pPr>
              <w:pStyle w:val="null3"/>
            </w:pPr>
            <w:r>
              <w:rPr/>
              <w:t>7</w:t>
            </w:r>
          </w:p>
        </w:tc>
        <w:tc>
          <w:tcPr>
            <w:tcW w:type="dxa" w:w="3178"/>
          </w:tcPr>
          <w:p>
            <w:pPr>
              <w:pStyle w:val="null3"/>
            </w:pPr>
            <w:r>
              <w:rPr/>
              <w:t>“★”号条款</w:t>
            </w:r>
          </w:p>
        </w:tc>
        <w:tc>
          <w:tcPr>
            <w:tcW w:type="dxa" w:w="4238"/>
          </w:tcPr>
          <w:p>
            <w:pPr>
              <w:pStyle w:val="null3"/>
            </w:pPr>
            <w:r>
              <w:rPr/>
              <w:t>投标文件是否满足采购人需求的要求，且没有重大偏离（须满足带“★”号条款）。</w:t>
            </w:r>
          </w:p>
        </w:tc>
      </w:tr>
      <w:tr>
        <w:tc>
          <w:tcPr>
            <w:tcW w:type="dxa" w:w="890"/>
          </w:tcPr>
          <w:p>
            <w:pPr>
              <w:pStyle w:val="null3"/>
            </w:pPr>
            <w:r>
              <w:rPr/>
              <w:t>8</w:t>
            </w:r>
          </w:p>
        </w:tc>
        <w:tc>
          <w:tcPr>
            <w:tcW w:type="dxa" w:w="3178"/>
          </w:tcPr>
          <w:p>
            <w:pPr>
              <w:pStyle w:val="null3"/>
            </w:pPr>
            <w:r>
              <w:rPr/>
              <w:t>附加条件</w:t>
            </w:r>
          </w:p>
        </w:tc>
        <w:tc>
          <w:tcPr>
            <w:tcW w:type="dxa" w:w="4238"/>
          </w:tcPr>
          <w:p>
            <w:pPr>
              <w:pStyle w:val="null3"/>
            </w:pPr>
            <w:r>
              <w:rPr/>
              <w:t>投标文件未含有采购人不可接受的附加条件的。</w:t>
            </w:r>
          </w:p>
        </w:tc>
      </w:tr>
      <w:tr>
        <w:tc>
          <w:tcPr>
            <w:tcW w:type="dxa" w:w="890"/>
          </w:tcPr>
          <w:p>
            <w:pPr>
              <w:pStyle w:val="null3"/>
            </w:pPr>
            <w:r>
              <w:rPr/>
              <w:t>9</w:t>
            </w:r>
          </w:p>
        </w:tc>
        <w:tc>
          <w:tcPr>
            <w:tcW w:type="dxa" w:w="3178"/>
          </w:tcPr>
          <w:p>
            <w:pPr>
              <w:pStyle w:val="null3"/>
            </w:pPr>
            <w:r>
              <w:rPr/>
              <w:t>其他无效情形</w:t>
            </w:r>
          </w:p>
        </w:tc>
        <w:tc>
          <w:tcPr>
            <w:tcW w:type="dxa" w:w="4238"/>
          </w:tcPr>
          <w:p>
            <w:pPr>
              <w:pStyle w:val="null3"/>
            </w:pPr>
            <w:r>
              <w:rPr/>
              <w:t>未发现投标文件存在法律、法规和招标文件中规定的投标无效情形。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采购包1(广东省特种证件制作中心2024-6新能源汽车号牌原材料采购项目):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商务部分30.0分</w:t>
            </w:r>
          </w:p>
          <w:p>
            <w:pPr>
              <w:pStyle w:val="null3"/>
            </w:pPr>
            <w:r>
              <w:rPr/>
              <w:t>技术部分30.0分</w:t>
            </w:r>
          </w:p>
          <w:p>
            <w:pPr>
              <w:pStyle w:val="null3"/>
            </w:pPr>
            <w:r>
              <w:rPr/>
              <w:t>报价得分40.0分</w:t>
            </w:r>
          </w:p>
        </w:tc>
      </w:tr>
      <w:tr>
        <w:tc>
          <w:tcPr>
            <w:tcW w:type="dxa" w:w="922"/>
            <w:gridSpan w:val="2"/>
            <w:vMerge w:val="restart"/>
          </w:tcPr>
          <w:p>
            <w:pPr>
              <w:pStyle w:val="null3"/>
              <w:jc w:val="center"/>
            </w:pPr>
            <w:r>
              <w:rPr/>
              <w:t>技术部分</w:t>
            </w:r>
          </w:p>
        </w:tc>
        <w:tc>
          <w:tcPr>
            <w:tcW w:type="dxa" w:w="2307"/>
          </w:tcPr>
          <w:p>
            <w:pPr>
              <w:pStyle w:val="null3"/>
              <w:jc w:val="left"/>
            </w:pPr>
            <w:r>
              <w:rPr/>
              <w:t>技术条款响应情况 (11.0分)</w:t>
            </w:r>
          </w:p>
        </w:tc>
        <w:tc>
          <w:tcPr>
            <w:tcW w:type="dxa" w:w="5076"/>
          </w:tcPr>
          <w:p>
            <w:pPr>
              <w:pStyle w:val="null3"/>
              <w:jc w:val="left"/>
            </w:pPr>
            <w:r>
              <w:rPr/>
              <w:t>根据投标人对《第二章 采购需求》附表一中“一、技术参数要求”（共11小项）的响应情况进行评审（“★”号条款除外）： 每完全满足一项条款得1分，本项满分11分。 备注：根据《技术和服务要求响应表》的响应情况及所提供证明材料（若条款要求提供证明材料，则需提供相应的证明材料）进行评审。</w:t>
            </w:r>
          </w:p>
        </w:tc>
      </w:tr>
      <w:tr>
        <w:tc>
          <w:tcPr>
            <w:tcW w:type="dxa" w:w="922"/>
            <w:gridSpan w:val="2"/>
            <w:vMerge/>
          </w:tcPr>
          <w:p/>
        </w:tc>
        <w:tc>
          <w:tcPr>
            <w:tcW w:type="dxa" w:w="2307"/>
          </w:tcPr>
          <w:p>
            <w:pPr>
              <w:pStyle w:val="null3"/>
              <w:jc w:val="left"/>
            </w:pPr>
            <w:r>
              <w:rPr/>
              <w:t>质量保证措施及方案 (7.0分)</w:t>
            </w:r>
            <w:r>
              <w:rPr/>
              <w:t>，（等次分值选择：</w:t>
            </w:r>
            <w:r>
              <w:rPr/>
              <w:t>0.0;</w:t>
            </w:r>
            <w:r>
              <w:rPr/>
              <w:t>1.0;</w:t>
            </w:r>
            <w:r>
              <w:rPr/>
              <w:t>3.0;</w:t>
            </w:r>
            <w:r>
              <w:rPr/>
              <w:t>5.0;</w:t>
            </w:r>
            <w:r>
              <w:rPr/>
              <w:t>7.0;</w:t>
            </w:r>
            <w:r>
              <w:rPr/>
              <w:t>）</w:t>
            </w:r>
          </w:p>
        </w:tc>
        <w:tc>
          <w:tcPr>
            <w:tcW w:type="dxa" w:w="5076"/>
          </w:tcPr>
          <w:p>
            <w:pPr>
              <w:pStyle w:val="null3"/>
              <w:jc w:val="left"/>
            </w:pPr>
            <w:r>
              <w:rPr/>
              <w:t>包括但不仅限以下，从符合性、完整性、严谨性、可行性、优化性等方面进行评审：①产品原材料的保障、②生产过程中的生产环节（工艺）的质量保障措施、③质量检测的步骤、方法及措施、④产品质量承诺。 （1）在对本项目的充分了解基础上，对新能源汽车号牌质量保证措施及方案内容详细、完整，表述准确，条理清晰严谨，内容无前后矛盾，有突出重点、难点、且作出深入分析，可行性高，方案符合且优于新能源汽车号牌需求，得7分； （2）在对本项目的充分了解基础上，对新能源汽车号牌质量保证措施及方案内容基本完整，表述基本准确，条理清晰，内容无前后矛盾，有突出重点、难点且作出分析，可行性较高，方案符合新能源汽车号牌需求，得5分； （3）在对本项目的了解基础上，对新能源汽车号牌质量保证措施及方案内容部分表述准确，条理基本清晰严谨，内容无前后矛盾，部分内容有突出重点、难点且作出分析，有一定的可行性，方案部分符合新能源汽车号牌需求，得3分； （4）在对本项目的了解基础上，对新能源汽车号牌质量保证措施及方案内容不完整，表述不到位，条理不清晰严谨，内容无前后矛盾，可行性较低，不符合新能源汽车号牌需求，得1分； （5）未提供相应内容，得0分。</w:t>
            </w:r>
          </w:p>
        </w:tc>
      </w:tr>
      <w:tr>
        <w:tc>
          <w:tcPr>
            <w:tcW w:type="dxa" w:w="922"/>
            <w:gridSpan w:val="2"/>
            <w:vMerge/>
          </w:tcPr>
          <w:p/>
        </w:tc>
        <w:tc>
          <w:tcPr>
            <w:tcW w:type="dxa" w:w="2307"/>
          </w:tcPr>
          <w:p>
            <w:pPr>
              <w:pStyle w:val="null3"/>
              <w:jc w:val="left"/>
            </w:pPr>
            <w:r>
              <w:rPr/>
              <w:t>售后服务保障方案 (7.0分)</w:t>
            </w:r>
            <w:r>
              <w:rPr/>
              <w:t>，（等次分值选择：</w:t>
            </w:r>
            <w:r>
              <w:rPr/>
              <w:t>0.0;</w:t>
            </w:r>
            <w:r>
              <w:rPr/>
              <w:t>1.0;</w:t>
            </w:r>
            <w:r>
              <w:rPr/>
              <w:t>4.0;</w:t>
            </w:r>
            <w:r>
              <w:rPr/>
              <w:t>7.0;</w:t>
            </w:r>
            <w:r>
              <w:rPr/>
              <w:t>）</w:t>
            </w:r>
          </w:p>
        </w:tc>
        <w:tc>
          <w:tcPr>
            <w:tcW w:type="dxa" w:w="5076"/>
          </w:tcPr>
          <w:p>
            <w:pPr>
              <w:pStyle w:val="null3"/>
              <w:jc w:val="left"/>
            </w:pPr>
            <w:r>
              <w:rPr/>
              <w:t>根据需求书的要求详细编制售后服务保障方案（包括但不仅限对“售后服务要求”的响应情况及服务目标、售后服务方案（包括但不限于①售后服务方式及内容、②售后响应时间承诺、③对出现质量问题的产品退换货处理流程及解决措施进行评审： （1）售后服务保障方案内容齐全且描述全面详细，方案完全满足且优于项目要求的，得7分； （2）售后服务保障方案内容有1-2项缺失或者描述全面未细化展开或者描述欠缺，方案满足项目要求的，得4分； （3）售后服务保障方案内容不完整或简单且欠缺内容多，不能完全满足项目要求的，得1分； （4）未提供不得分。</w:t>
            </w:r>
          </w:p>
        </w:tc>
      </w:tr>
      <w:tr>
        <w:tc>
          <w:tcPr>
            <w:tcW w:type="dxa" w:w="922"/>
            <w:gridSpan w:val="2"/>
            <w:vMerge/>
          </w:tcPr>
          <w:p/>
        </w:tc>
        <w:tc>
          <w:tcPr>
            <w:tcW w:type="dxa" w:w="2307"/>
          </w:tcPr>
          <w:p>
            <w:pPr>
              <w:pStyle w:val="null3"/>
              <w:jc w:val="left"/>
            </w:pPr>
            <w:r>
              <w:rPr/>
              <w:t>样品评审 (5.0分)</w:t>
            </w:r>
            <w:r>
              <w:rPr/>
              <w:t>，（等次分值选择：</w:t>
            </w:r>
            <w:r>
              <w:rPr/>
              <w:t>0.0;</w:t>
            </w:r>
            <w:r>
              <w:rPr/>
              <w:t>1.0;</w:t>
            </w:r>
            <w:r>
              <w:rPr/>
              <w:t>2.0;</w:t>
            </w:r>
            <w:r>
              <w:rPr/>
              <w:t>5.0;</w:t>
            </w:r>
            <w:r>
              <w:rPr/>
              <w:t>）</w:t>
            </w:r>
          </w:p>
        </w:tc>
        <w:tc>
          <w:tcPr>
            <w:tcW w:type="dxa" w:w="5076"/>
          </w:tcPr>
          <w:p>
            <w:pPr>
              <w:pStyle w:val="null3"/>
              <w:jc w:val="left"/>
            </w:pPr>
            <w:r>
              <w:rPr/>
              <w:t>根据投标人提交的样品材质、质感、颜色、膜面、膜接头处和底纸接头处等情况，对照《第二章 采购需求》的“一、技术参数要求”上述评审点的要求进行评价： （1）完全满足采购需求的要求，得5分； （2）样品外表面较平滑、光洁，有轻微的划痕、气泡、条纹、裂纹、颜色不均匀等缺陷或损伤，接头处较平整，有轻微缝隙，得2分； （3）样品外表面粗糙，有明显的划痕、气泡、条纹、裂纹、颜色不均匀等缺陷或损伤，接头处不平整，有明显缝隙，得1分； （4）未提交样品或少提交样品不得分。</w:t>
            </w:r>
          </w:p>
        </w:tc>
      </w:tr>
      <w:tr>
        <w:tc>
          <w:tcPr>
            <w:tcW w:type="dxa" w:w="922"/>
            <w:gridSpan w:val="2"/>
            <w:vMerge w:val="restart"/>
          </w:tcPr>
          <w:p>
            <w:pPr>
              <w:pStyle w:val="null3"/>
              <w:jc w:val="center"/>
            </w:pPr>
            <w:r>
              <w:rPr/>
              <w:t>商务部分</w:t>
            </w:r>
          </w:p>
        </w:tc>
        <w:tc>
          <w:tcPr>
            <w:tcW w:type="dxa" w:w="2307"/>
          </w:tcPr>
          <w:p>
            <w:pPr>
              <w:pStyle w:val="null3"/>
              <w:jc w:val="left"/>
            </w:pPr>
            <w:r>
              <w:rPr/>
              <w:t>商务要求条款响应情况 (10.0分)</w:t>
            </w:r>
          </w:p>
        </w:tc>
        <w:tc>
          <w:tcPr>
            <w:tcW w:type="dxa" w:w="5076"/>
          </w:tcPr>
          <w:p>
            <w:pPr>
              <w:pStyle w:val="null3"/>
              <w:jc w:val="left"/>
            </w:pPr>
            <w:r>
              <w:rPr/>
              <w:t>根据投标人对《第二章 采购需求》附表一中“三、货物质量保障要求”、“四、包装、配送及贮存要求”（共5小项）的响应情况进行评审：每完全满足一项得2分，本项满分10分。 备注：根据《技术和服务要求响应表》及《商务条件响应表》的响应情况及所提供证明材料（若条款要求提供证明材料，则需提供相应的证明材料）进行评审。</w:t>
            </w:r>
          </w:p>
        </w:tc>
      </w:tr>
      <w:tr>
        <w:tc>
          <w:tcPr>
            <w:tcW w:type="dxa" w:w="922"/>
            <w:gridSpan w:val="2"/>
            <w:vMerge/>
          </w:tcPr>
          <w:p/>
        </w:tc>
        <w:tc>
          <w:tcPr>
            <w:tcW w:type="dxa" w:w="2307"/>
          </w:tcPr>
          <w:p>
            <w:pPr>
              <w:pStyle w:val="null3"/>
              <w:jc w:val="left"/>
            </w:pPr>
            <w:r>
              <w:rPr/>
              <w:t>质保期 (6.0分)</w:t>
            </w:r>
          </w:p>
        </w:tc>
        <w:tc>
          <w:tcPr>
            <w:tcW w:type="dxa" w:w="5076"/>
          </w:tcPr>
          <w:p>
            <w:pPr>
              <w:pStyle w:val="null3"/>
              <w:jc w:val="left"/>
            </w:pPr>
            <w:r>
              <w:rPr/>
              <w:t>根据投标人对质保期的时间承诺情况进行评审： 投标人可提供10年（含）以上质保期的，得6分； 投标人可提供8年（含）-10年（不含）质保期的，得5分； 投标人可提供6年（含）-8年（不含）质保期的，得3分； 投标人可提供6年以下质保期的，不得分。 注：投标人须提供承诺函并加盖公章，未提供或者未按要求提供的均不得分。</w:t>
            </w:r>
          </w:p>
        </w:tc>
      </w:tr>
      <w:tr>
        <w:tc>
          <w:tcPr>
            <w:tcW w:type="dxa" w:w="922"/>
            <w:gridSpan w:val="2"/>
            <w:vMerge/>
          </w:tcPr>
          <w:p/>
        </w:tc>
        <w:tc>
          <w:tcPr>
            <w:tcW w:type="dxa" w:w="2307"/>
          </w:tcPr>
          <w:p>
            <w:pPr>
              <w:pStyle w:val="null3"/>
              <w:jc w:val="left"/>
            </w:pPr>
            <w:r>
              <w:rPr/>
              <w:t>投标人同类项目业绩情况 (5.0分)</w:t>
            </w:r>
          </w:p>
        </w:tc>
        <w:tc>
          <w:tcPr>
            <w:tcW w:type="dxa" w:w="5076"/>
          </w:tcPr>
          <w:p>
            <w:pPr>
              <w:pStyle w:val="null3"/>
              <w:jc w:val="left"/>
            </w:pPr>
            <w:r>
              <w:rPr/>
              <w:t>投标人2021年1月1日（以合同签订时间为准）以来国内同类项目供货业绩情况，每有一个业绩得1分，本项最高得5分。 注：同类业绩是指：含有本次采购内容的同类产品。同时提供项目合同复印件，不提供不得分，未按要求提供证明材料的不得分。</w:t>
            </w:r>
          </w:p>
        </w:tc>
      </w:tr>
      <w:tr>
        <w:tc>
          <w:tcPr>
            <w:tcW w:type="dxa" w:w="922"/>
            <w:gridSpan w:val="2"/>
            <w:vMerge/>
          </w:tcPr>
          <w:p/>
        </w:tc>
        <w:tc>
          <w:tcPr>
            <w:tcW w:type="dxa" w:w="2307"/>
          </w:tcPr>
          <w:p>
            <w:pPr>
              <w:pStyle w:val="null3"/>
              <w:jc w:val="left"/>
            </w:pPr>
            <w:r>
              <w:rPr/>
              <w:t>业绩用户评价 (3.0分)</w:t>
            </w:r>
          </w:p>
        </w:tc>
        <w:tc>
          <w:tcPr>
            <w:tcW w:type="dxa" w:w="5076"/>
          </w:tcPr>
          <w:p>
            <w:pPr>
              <w:pStyle w:val="null3"/>
              <w:jc w:val="left"/>
            </w:pPr>
            <w:r>
              <w:rPr/>
              <w:t>投标人提供的上述业绩中，具有用户单位出具的满意度评价为满意或类似好评的：每提供1项得1分，最高得3分，无不得分。 备注：①同一客户或同一项目提供多项用户满意度评价的，按一项计算；②用户满意度评价须经用户单位盖章，评价情况至少须为满意或类似好评的方可计分；证明材料不清晰或无法辨认的不得分。③如上述业绩无效，在同一项目中的满意度评价将不计分。</w:t>
            </w:r>
          </w:p>
        </w:tc>
      </w:tr>
      <w:tr>
        <w:tc>
          <w:tcPr>
            <w:tcW w:type="dxa" w:w="922"/>
            <w:gridSpan w:val="2"/>
            <w:vMerge/>
          </w:tcPr>
          <w:p/>
        </w:tc>
        <w:tc>
          <w:tcPr>
            <w:tcW w:type="dxa" w:w="2307"/>
          </w:tcPr>
          <w:p>
            <w:pPr>
              <w:pStyle w:val="null3"/>
              <w:jc w:val="left"/>
            </w:pPr>
            <w:r>
              <w:rPr/>
              <w:t>企业认证 (6.0分)</w:t>
            </w:r>
          </w:p>
        </w:tc>
        <w:tc>
          <w:tcPr>
            <w:tcW w:type="dxa" w:w="5076"/>
          </w:tcPr>
          <w:p>
            <w:pPr>
              <w:pStyle w:val="null3"/>
              <w:jc w:val="left"/>
            </w:pPr>
            <w:r>
              <w:rPr/>
              <w:t>投标人具有有效期内的质量管理体系认证证书、环境管理体系认证证书、职业健康安全管理体系认证证书，以上每提供一项证书得2分，不提供不得分，满分6分。 备注：须提供有效期内的相关管理体系认证证书复印件及证书在“全国认证认可信息公共服务平台（http://cx.cnca.cn/CertECloud/index/index/page）”上的查询结果及显示查询状态为“有效”的网页信息截图并加盖投标人公章，不满足上述情况的或未按要求提供证明材料的，不得分。新成立的公司因实施运行不满3个月无法办理认证证书的，可得满分。</w:t>
            </w:r>
          </w:p>
        </w:tc>
      </w:tr>
      <w:tr>
        <w:tc>
          <w:tcPr>
            <w:tcW w:type="dxa" w:w="922"/>
            <w:gridSpan w:val="2"/>
          </w:tcPr>
          <w:p>
            <w:pPr>
              <w:pStyle w:val="null3"/>
              <w:jc w:val="center"/>
            </w:pPr>
            <w:r>
              <w:rPr/>
              <w:t>投标报价</w:t>
            </w:r>
          </w:p>
        </w:tc>
        <w:tc>
          <w:tcPr>
            <w:tcW w:type="dxa" w:w="2307"/>
          </w:tcPr>
          <w:p>
            <w:pPr>
              <w:pStyle w:val="null3"/>
              <w:jc w:val="left"/>
            </w:pPr>
            <w:r>
              <w:rPr/>
              <w:t>投标报价得分 (40.0分)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4"/>
          <w:b/>
        </w:rPr>
        <w:t>注：以下合同仅供参考，具体内容以双方按照招标文件、投标文件及相关法律政策规定所签订的合同为准。</w:t>
      </w:r>
    </w:p>
    <w:p>
      <w:pPr>
        <w:pStyle w:val="null3"/>
        <w:jc w:val="left"/>
      </w:pPr>
      <w:r>
        <w:rPr/>
        <w:t xml:space="preserve"> </w:t>
      </w:r>
    </w:p>
    <w:p>
      <w:pPr>
        <w:pStyle w:val="null3"/>
        <w:jc w:val="left"/>
      </w:pPr>
      <w:r>
        <w:rPr>
          <w:sz w:val="24"/>
          <w:color w:val="000000"/>
        </w:rPr>
        <w:t>合同范本</w:t>
      </w:r>
    </w:p>
    <w:p>
      <w:pPr>
        <w:pStyle w:val="null3"/>
        <w:jc w:val="left"/>
      </w:pPr>
      <w:r>
        <w:rPr/>
        <w:t xml:space="preserve"> </w:t>
      </w:r>
    </w:p>
    <w:p>
      <w:pPr>
        <w:pStyle w:val="null3"/>
        <w:jc w:val="left"/>
      </w:pPr>
      <w:r>
        <w:rPr/>
        <w:t xml:space="preserve"> </w:t>
      </w:r>
    </w:p>
    <w:p>
      <w:pPr>
        <w:pStyle w:val="null3"/>
        <w:jc w:val="left"/>
      </w:pPr>
      <w:r>
        <w:rPr/>
        <w:t xml:space="preserve"> </w:t>
      </w:r>
    </w:p>
    <w:p>
      <w:pPr>
        <w:pStyle w:val="null3"/>
        <w:jc w:val="left"/>
      </w:pPr>
      <w:r>
        <w:rPr/>
        <w:t xml:space="preserve"> </w:t>
      </w:r>
    </w:p>
    <w:p>
      <w:pPr>
        <w:pStyle w:val="null3"/>
        <w:jc w:val="left"/>
      </w:pPr>
      <w:r>
        <w:rPr/>
        <w:t xml:space="preserve"> </w:t>
      </w:r>
    </w:p>
    <w:p>
      <w:pPr>
        <w:pStyle w:val="null3"/>
        <w:jc w:val="left"/>
      </w:pPr>
      <w:r>
        <w:rPr/>
        <w:t xml:space="preserve"> </w:t>
      </w:r>
    </w:p>
    <w:p>
      <w:pPr>
        <w:pStyle w:val="null3"/>
        <w:jc w:val="left"/>
      </w:pPr>
      <w:r>
        <w:rPr/>
        <w:t xml:space="preserve"> </w:t>
      </w:r>
    </w:p>
    <w:p>
      <w:pPr>
        <w:pStyle w:val="null3"/>
        <w:jc w:val="left"/>
      </w:pPr>
      <w:r>
        <w:rPr/>
        <w:t xml:space="preserve"> </w:t>
      </w:r>
    </w:p>
    <w:p>
      <w:pPr>
        <w:pStyle w:val="null3"/>
        <w:jc w:val="center"/>
      </w:pPr>
      <w:r>
        <w:rPr>
          <w:sz w:val="72"/>
          <w:b/>
          <w:color w:val="000000"/>
        </w:rPr>
        <w:t>合  同  书</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both"/>
      </w:pPr>
      <w:r>
        <w:rPr>
          <w:sz w:val="30"/>
        </w:rPr>
        <w:t>项目编号：</w:t>
      </w:r>
    </w:p>
    <w:p>
      <w:pPr>
        <w:pStyle w:val="null3"/>
        <w:ind w:firstLine="640"/>
        <w:jc w:val="both"/>
      </w:pPr>
      <w:r>
        <w:rPr/>
        <w:t xml:space="preserve"> </w:t>
      </w:r>
    </w:p>
    <w:p>
      <w:pPr>
        <w:pStyle w:val="null3"/>
        <w:ind w:firstLine="640"/>
        <w:jc w:val="both"/>
      </w:pPr>
      <w:r>
        <w:rPr/>
        <w:t xml:space="preserve"> </w:t>
      </w:r>
    </w:p>
    <w:p>
      <w:pPr>
        <w:pStyle w:val="null3"/>
        <w:ind w:firstLine="640"/>
        <w:jc w:val="both"/>
      </w:pPr>
      <w:r>
        <w:rPr>
          <w:sz w:val="30"/>
        </w:rPr>
        <w:t>合同编号：</w:t>
      </w:r>
    </w:p>
    <w:p>
      <w:pPr>
        <w:pStyle w:val="null3"/>
        <w:ind w:firstLine="640"/>
        <w:jc w:val="both"/>
      </w:pPr>
      <w:r>
        <w:rPr/>
        <w:t xml:space="preserve"> </w:t>
      </w:r>
    </w:p>
    <w:p>
      <w:pPr>
        <w:pStyle w:val="null3"/>
        <w:ind w:firstLine="640"/>
        <w:jc w:val="both"/>
      </w:pPr>
      <w:r>
        <w:rPr/>
        <w:t xml:space="preserve"> </w:t>
      </w:r>
    </w:p>
    <w:p>
      <w:pPr>
        <w:pStyle w:val="null3"/>
        <w:ind w:left="2565"/>
        <w:jc w:val="both"/>
      </w:pPr>
      <w:r>
        <w:rPr>
          <w:sz w:val="30"/>
        </w:rPr>
        <w:t>采购项目：</w:t>
      </w:r>
      <w:r>
        <w:rPr>
          <w:sz w:val="30"/>
          <w:u w:val="single"/>
        </w:rPr>
        <w:t>广东省特种证件制作中心2024-6新能源汽车号牌原材料采购项目</w:t>
      </w:r>
    </w:p>
    <w:p>
      <w:pPr>
        <w:pStyle w:val="null3"/>
        <w:ind w:left="2565"/>
        <w:jc w:val="both"/>
      </w:pPr>
      <w:r>
        <w:rPr/>
        <w:t xml:space="preserve"> </w:t>
      </w:r>
    </w:p>
    <w:p>
      <w:pPr>
        <w:pStyle w:val="null3"/>
        <w:ind w:left="2565"/>
        <w:jc w:val="both"/>
      </w:pPr>
      <w:r>
        <w:rPr/>
        <w:t xml:space="preserve"> </w:t>
      </w:r>
    </w:p>
    <w:p>
      <w:pPr>
        <w:pStyle w:val="null3"/>
        <w:ind w:left="2565"/>
        <w:jc w:val="both"/>
      </w:pPr>
      <w:r>
        <w:rPr/>
        <w:t xml:space="preserve"> </w:t>
      </w:r>
    </w:p>
    <w:p>
      <w:pPr>
        <w:pStyle w:val="null3"/>
        <w:ind w:left="2565"/>
        <w:jc w:val="both"/>
      </w:pPr>
      <w:r>
        <w:rPr/>
        <w:t xml:space="preserve"> </w:t>
      </w:r>
    </w:p>
    <w:p>
      <w:pPr>
        <w:pStyle w:val="null3"/>
        <w:ind w:left="2565"/>
        <w:jc w:val="both"/>
      </w:pPr>
      <w:r>
        <w:rPr/>
        <w:t xml:space="preserve"> </w:t>
      </w:r>
    </w:p>
    <w:p>
      <w:pPr>
        <w:pStyle w:val="null3"/>
        <w:ind w:left="2565"/>
        <w:jc w:val="both"/>
      </w:pPr>
      <w:r>
        <w:rPr/>
        <w:t xml:space="preserve"> </w:t>
      </w:r>
    </w:p>
    <w:p>
      <w:pPr>
        <w:pStyle w:val="null3"/>
        <w:ind w:left="2565"/>
        <w:jc w:val="both"/>
      </w:pPr>
      <w:r>
        <w:rPr/>
        <w:t xml:space="preserve"> </w:t>
      </w:r>
    </w:p>
    <w:p>
      <w:pPr>
        <w:pStyle w:val="null3"/>
        <w:ind w:left="2565"/>
        <w:jc w:val="both"/>
      </w:pPr>
      <w:r>
        <w:rPr/>
        <w:t xml:space="preserve"> </w:t>
      </w:r>
    </w:p>
    <w:p>
      <w:pPr>
        <w:pStyle w:val="null3"/>
        <w:jc w:val="both"/>
      </w:pPr>
      <w:r>
        <w:rPr>
          <w:sz w:val="24"/>
          <w:b/>
        </w:rPr>
        <w:t>甲方：</w:t>
      </w:r>
      <w:r>
        <w:rPr>
          <w:sz w:val="24"/>
          <w:b/>
          <w:u w:val="single"/>
        </w:rPr>
        <w:t>广东省特种证件制作中心</w:t>
      </w:r>
    </w:p>
    <w:p>
      <w:pPr>
        <w:pStyle w:val="null3"/>
        <w:jc w:val="left"/>
      </w:pPr>
      <w:r>
        <w:rPr>
          <w:sz w:val="24"/>
          <w:b/>
        </w:rPr>
        <w:t>乙方：</w:t>
      </w:r>
    </w:p>
    <w:p>
      <w:pPr>
        <w:pStyle w:val="null3"/>
        <w:ind w:firstLine="480"/>
        <w:jc w:val="both"/>
      </w:pPr>
      <w:r>
        <w:rPr>
          <w:sz w:val="24"/>
        </w:rPr>
        <w:t>参照《中华人民共和国民法典》《中华人民共和国政府采购法》等相关法律、法规规定，根据</w:t>
      </w:r>
      <w:r>
        <w:rPr>
          <w:sz w:val="24"/>
          <w:u w:val="single"/>
        </w:rPr>
        <w:t>广东省特种证件制作中心2024-6新能源汽车号牌原材料采购项目（项目编号：GZCQC2400HG03007）</w:t>
      </w:r>
      <w:r>
        <w:rPr>
          <w:sz w:val="24"/>
        </w:rPr>
        <w:t>的采购文件和乙方中标的投标文件，在平等、自愿的基础上，经双方充分协商，就甲方购买乙方货物达成以下合同条款，以资共同遵守。</w:t>
      </w:r>
    </w:p>
    <w:p>
      <w:pPr>
        <w:pStyle w:val="null3"/>
        <w:ind w:firstLine="482"/>
        <w:jc w:val="both"/>
      </w:pPr>
      <w:r>
        <w:rPr>
          <w:sz w:val="24"/>
          <w:b/>
        </w:rPr>
        <w:t>一、合同签订地点：广州市</w:t>
      </w:r>
    </w:p>
    <w:p>
      <w:pPr>
        <w:pStyle w:val="null3"/>
        <w:ind w:firstLine="482"/>
        <w:jc w:val="both"/>
      </w:pPr>
      <w:r>
        <w:rPr>
          <w:sz w:val="24"/>
          <w:b/>
        </w:rPr>
        <w:t>二、货物详细清单</w:t>
      </w:r>
    </w:p>
    <w:tbl>
      <w:tblPr>
        <w:tblW w:w="0" w:type="auto"/>
        <w:tblBorders>
          <w:top w:val="single"/>
          <w:left w:val="single"/>
          <w:bottom w:val="single"/>
          <w:right w:val="single"/>
          <w:insideH w:val="single"/>
          <w:insideV w:val="single"/>
        </w:tblBorders>
      </w:tblPr>
      <w:tblGrid>
        <w:gridCol w:w="1757"/>
        <w:gridCol w:w="1307"/>
        <w:gridCol w:w="1612"/>
        <w:gridCol w:w="1888"/>
        <w:gridCol w:w="1743"/>
      </w:tblGrid>
      <w:tr>
        <w:tc>
          <w:tcPr>
            <w:tcW w:type="dxa" w:w="1757"/>
            <w:tcBorders>
              <w:top w:val="single" w:color="000000" w:sz="4"/>
              <w:left w:val="single" w:color="000000" w:sz="4"/>
              <w:bottom w:val="single" w:color="000000" w:sz="4"/>
              <w:right w:val="single" w:color="000000" w:sz="4"/>
            </w:tcBorders>
            <w:tcMar>
              <w:top w:type="dxa" w:w="1"/>
              <w:left w:type="dxa" w:w="1"/>
              <w:bottom w:type="dxa" w:w="0"/>
              <w:right w:type="dxa" w:w="1"/>
            </w:tcMar>
          </w:tcPr>
          <w:p>
            <w:pPr>
              <w:pStyle w:val="null3"/>
              <w:jc w:val="center"/>
            </w:pPr>
            <w:r>
              <w:rPr>
                <w:sz w:val="24"/>
              </w:rPr>
              <w:t>货物名称</w:t>
            </w:r>
          </w:p>
        </w:tc>
        <w:tc>
          <w:tcPr>
            <w:tcW w:type="dxa" w:w="1307"/>
            <w:tcBorders>
              <w:top w:val="single" w:color="000000" w:sz="4"/>
              <w:left w:val="none" w:color="000000" w:sz="4"/>
              <w:bottom w:val="single" w:color="000000" w:sz="4"/>
              <w:right w:val="single" w:color="000000" w:sz="4"/>
            </w:tcBorders>
            <w:tcMar>
              <w:top w:type="dxa" w:w="1"/>
              <w:left w:type="dxa" w:w="1"/>
              <w:bottom w:type="dxa" w:w="0"/>
              <w:right w:type="dxa" w:w="1"/>
            </w:tcMar>
          </w:tcPr>
          <w:p>
            <w:pPr>
              <w:pStyle w:val="null3"/>
              <w:jc w:val="center"/>
            </w:pPr>
            <w:r>
              <w:rPr>
                <w:sz w:val="24"/>
              </w:rPr>
              <w:t>颜色</w:t>
            </w:r>
          </w:p>
        </w:tc>
        <w:tc>
          <w:tcPr>
            <w:tcW w:type="dxa" w:w="1612"/>
            <w:tcBorders>
              <w:top w:val="single" w:color="000000" w:sz="4"/>
              <w:left w:val="none" w:color="000000" w:sz="4"/>
              <w:bottom w:val="single" w:color="000000" w:sz="4"/>
              <w:right w:val="single" w:color="000000" w:sz="4"/>
            </w:tcBorders>
            <w:tcMar>
              <w:top w:type="dxa" w:w="1"/>
              <w:left w:type="dxa" w:w="1"/>
              <w:bottom w:type="dxa" w:w="0"/>
              <w:right w:type="dxa" w:w="1"/>
            </w:tcMar>
          </w:tcPr>
          <w:p>
            <w:pPr>
              <w:pStyle w:val="null3"/>
              <w:jc w:val="center"/>
            </w:pPr>
            <w:r>
              <w:rPr>
                <w:sz w:val="24"/>
              </w:rPr>
              <w:t>数量（㎡）</w:t>
            </w:r>
          </w:p>
        </w:tc>
        <w:tc>
          <w:tcPr>
            <w:tcW w:type="dxa" w:w="1888"/>
            <w:tcBorders>
              <w:top w:val="single" w:color="000000" w:sz="4"/>
              <w:left w:val="none" w:color="000000" w:sz="4"/>
              <w:bottom w:val="single" w:color="000000" w:sz="4"/>
              <w:right w:val="single" w:color="000000" w:sz="4"/>
            </w:tcBorders>
            <w:tcMar>
              <w:top w:type="dxa" w:w="1"/>
              <w:left w:type="dxa" w:w="1"/>
              <w:bottom w:type="dxa" w:w="0"/>
              <w:right w:type="dxa" w:w="1"/>
            </w:tcMar>
          </w:tcPr>
          <w:p>
            <w:pPr>
              <w:pStyle w:val="null3"/>
              <w:jc w:val="center"/>
            </w:pPr>
            <w:r>
              <w:rPr>
                <w:sz w:val="24"/>
              </w:rPr>
              <w:t>单价（元/</w:t>
            </w:r>
            <w:r>
              <w:rPr>
                <w:sz w:val="24"/>
              </w:rPr>
              <w:t>㎡</w:t>
            </w:r>
            <w:r>
              <w:rPr>
                <w:sz w:val="24"/>
              </w:rPr>
              <w:t>）</w:t>
            </w:r>
          </w:p>
        </w:tc>
        <w:tc>
          <w:tcPr>
            <w:tcW w:type="dxa" w:w="1743"/>
            <w:tcBorders>
              <w:top w:val="single" w:color="000000" w:sz="4"/>
              <w:left w:val="none" w:color="000000" w:sz="4"/>
              <w:bottom w:val="single" w:color="000000" w:sz="4"/>
              <w:right w:val="single" w:color="000000" w:sz="4"/>
            </w:tcBorders>
            <w:tcMar>
              <w:top w:type="dxa" w:w="1"/>
              <w:left w:type="dxa" w:w="1"/>
              <w:bottom w:type="dxa" w:w="0"/>
              <w:right w:type="dxa" w:w="1"/>
            </w:tcMar>
          </w:tcPr>
          <w:p>
            <w:pPr>
              <w:pStyle w:val="null3"/>
              <w:jc w:val="center"/>
            </w:pPr>
            <w:r>
              <w:rPr>
                <w:sz w:val="24"/>
              </w:rPr>
              <w:t>单项总价（元）</w:t>
            </w:r>
          </w:p>
        </w:tc>
      </w:tr>
      <w:tr>
        <w:tc>
          <w:tcPr>
            <w:tcW w:type="dxa" w:w="1757"/>
            <w:vMerge w:val="restart"/>
            <w:tcBorders>
              <w:top w:val="none" w:color="000000" w:sz="4"/>
              <w:left w:val="single" w:color="000000" w:sz="4"/>
              <w:bottom w:val="single" w:color="000000" w:sz="4"/>
              <w:right w:val="single" w:color="000000" w:sz="4"/>
            </w:tcBorders>
            <w:tcMar>
              <w:top w:type="dxa" w:w="1"/>
              <w:left w:type="dxa" w:w="1"/>
              <w:bottom w:type="dxa" w:w="0"/>
              <w:right w:type="dxa" w:w="1"/>
            </w:tcMar>
          </w:tcPr>
          <w:p>
            <w:pPr>
              <w:pStyle w:val="null3"/>
              <w:jc w:val="center"/>
            </w:pPr>
            <w:r>
              <w:rPr>
                <w:sz w:val="24"/>
              </w:rPr>
              <w:t>反光膜</w:t>
            </w:r>
          </w:p>
        </w:tc>
        <w:tc>
          <w:tcPr>
            <w:tcW w:type="dxa" w:w="1307"/>
            <w:tcBorders>
              <w:top w:val="none" w:color="000000" w:sz="4"/>
              <w:left w:val="none" w:color="000000" w:sz="4"/>
              <w:bottom w:val="single" w:color="000000" w:sz="4"/>
              <w:right w:val="single" w:color="000000" w:sz="4"/>
            </w:tcBorders>
            <w:tcMar>
              <w:top w:type="dxa" w:w="1"/>
              <w:left w:type="dxa" w:w="1"/>
              <w:bottom w:type="dxa" w:w="0"/>
              <w:right w:type="dxa" w:w="1"/>
            </w:tcMar>
          </w:tcPr>
          <w:p>
            <w:pPr>
              <w:pStyle w:val="null3"/>
              <w:jc w:val="center"/>
            </w:pPr>
            <w:r>
              <w:rPr>
                <w:sz w:val="24"/>
              </w:rPr>
              <w:t>黄绿双拼</w:t>
            </w:r>
          </w:p>
        </w:tc>
        <w:tc>
          <w:tcPr>
            <w:tcW w:type="dxa" w:w="1612"/>
            <w:tcBorders>
              <w:top w:val="none" w:color="000000" w:sz="4"/>
              <w:left w:val="none" w:color="000000" w:sz="4"/>
              <w:bottom w:val="single" w:color="000000" w:sz="4"/>
              <w:right w:val="single" w:color="000000" w:sz="4"/>
            </w:tcBorders>
            <w:tcMar>
              <w:top w:type="dxa" w:w="1"/>
              <w:left w:type="dxa" w:w="1"/>
              <w:bottom w:type="dxa" w:w="0"/>
              <w:right w:type="dxa" w:w="1"/>
            </w:tcMar>
          </w:tcPr>
          <w:p>
            <w:pPr>
              <w:pStyle w:val="null3"/>
              <w:jc w:val="center"/>
            </w:pPr>
            <w:r>
              <w:rPr>
                <w:sz w:val="24"/>
              </w:rPr>
              <w:t>5700</w:t>
            </w:r>
          </w:p>
        </w:tc>
        <w:tc>
          <w:tcPr>
            <w:tcW w:type="dxa" w:w="1888"/>
            <w:tcBorders>
              <w:top w:val="none" w:color="000000" w:sz="4"/>
              <w:left w:val="none" w:color="000000" w:sz="4"/>
              <w:bottom w:val="single" w:color="000000" w:sz="4"/>
              <w:right w:val="single" w:color="000000" w:sz="4"/>
            </w:tcBorders>
            <w:tcMar>
              <w:top w:type="dxa" w:w="1"/>
              <w:left w:type="dxa" w:w="1"/>
              <w:bottom w:type="dxa" w:w="0"/>
              <w:right w:type="dxa" w:w="1"/>
            </w:tcMar>
          </w:tcPr>
          <w:p>
            <w:pPr>
              <w:pStyle w:val="null3"/>
              <w:jc w:val="center"/>
            </w:pPr>
          </w:p>
        </w:tc>
        <w:tc>
          <w:tcPr>
            <w:tcW w:type="dxa" w:w="1743"/>
            <w:tcBorders>
              <w:top w:val="none" w:color="000000" w:sz="4"/>
              <w:left w:val="none" w:color="000000" w:sz="4"/>
              <w:bottom w:val="single" w:color="000000" w:sz="4"/>
              <w:right w:val="single" w:color="000000" w:sz="4"/>
            </w:tcBorders>
            <w:tcMar>
              <w:top w:type="dxa" w:w="1"/>
              <w:left w:type="dxa" w:w="1"/>
              <w:bottom w:type="dxa" w:w="0"/>
              <w:right w:type="dxa" w:w="1"/>
            </w:tcMar>
          </w:tcPr>
          <w:p/>
        </w:tc>
      </w:tr>
      <w:tr>
        <w:tc>
          <w:tcPr>
            <w:tcW w:type="dxa" w:w="1757"/>
            <w:vMerge/>
            <w:tcBorders>
              <w:top w:val="none" w:color="000000" w:sz="4"/>
              <w:left w:val="single" w:color="000000" w:sz="4"/>
              <w:bottom w:val="single" w:color="000000" w:sz="4"/>
              <w:right w:val="single" w:color="000000" w:sz="4"/>
            </w:tcBorders>
          </w:tcPr>
          <w:p/>
        </w:tc>
        <w:tc>
          <w:tcPr>
            <w:tcW w:type="dxa" w:w="1307"/>
            <w:tcBorders>
              <w:top w:val="none" w:color="000000" w:sz="4"/>
              <w:left w:val="none" w:color="000000" w:sz="4"/>
              <w:bottom w:val="single" w:color="000000" w:sz="4"/>
              <w:right w:val="single" w:color="000000" w:sz="4"/>
            </w:tcBorders>
            <w:tcMar>
              <w:top w:type="dxa" w:w="1"/>
              <w:left w:type="dxa" w:w="1"/>
              <w:bottom w:type="dxa" w:w="0"/>
              <w:right w:type="dxa" w:w="1"/>
            </w:tcMar>
          </w:tcPr>
          <w:p>
            <w:pPr>
              <w:pStyle w:val="null3"/>
              <w:jc w:val="center"/>
            </w:pPr>
            <w:r>
              <w:rPr>
                <w:sz w:val="24"/>
              </w:rPr>
              <w:t>渐变绿</w:t>
            </w:r>
          </w:p>
        </w:tc>
        <w:tc>
          <w:tcPr>
            <w:tcW w:type="dxa" w:w="1612"/>
            <w:tcBorders>
              <w:top w:val="none" w:color="000000" w:sz="4"/>
              <w:left w:val="none" w:color="000000" w:sz="4"/>
              <w:bottom w:val="single" w:color="000000" w:sz="4"/>
              <w:right w:val="single" w:color="000000" w:sz="4"/>
            </w:tcBorders>
            <w:tcMar>
              <w:top w:type="dxa" w:w="1"/>
              <w:left w:type="dxa" w:w="1"/>
              <w:bottom w:type="dxa" w:w="0"/>
              <w:right w:type="dxa" w:w="1"/>
            </w:tcMar>
          </w:tcPr>
          <w:p>
            <w:pPr>
              <w:pStyle w:val="null3"/>
              <w:jc w:val="center"/>
            </w:pPr>
            <w:r>
              <w:rPr>
                <w:sz w:val="24"/>
              </w:rPr>
              <w:t>281300</w:t>
            </w:r>
          </w:p>
        </w:tc>
        <w:tc>
          <w:tcPr>
            <w:tcW w:type="dxa" w:w="1888"/>
            <w:tcBorders>
              <w:top w:val="none" w:color="000000" w:sz="4"/>
              <w:left w:val="none" w:color="000000" w:sz="4"/>
              <w:bottom w:val="single" w:color="000000" w:sz="4"/>
              <w:right w:val="single" w:color="000000" w:sz="4"/>
            </w:tcBorders>
            <w:tcMar>
              <w:top w:type="dxa" w:w="1"/>
              <w:left w:type="dxa" w:w="1"/>
              <w:bottom w:type="dxa" w:w="0"/>
              <w:right w:type="dxa" w:w="1"/>
            </w:tcMar>
          </w:tcPr>
          <w:p>
            <w:pPr>
              <w:pStyle w:val="null3"/>
              <w:jc w:val="center"/>
            </w:pPr>
          </w:p>
        </w:tc>
        <w:tc>
          <w:tcPr>
            <w:tcW w:type="dxa" w:w="1743"/>
            <w:tcBorders>
              <w:top w:val="none" w:color="000000" w:sz="4"/>
              <w:left w:val="none" w:color="000000" w:sz="4"/>
              <w:bottom w:val="single" w:color="000000" w:sz="4"/>
              <w:right w:val="single" w:color="000000" w:sz="4"/>
            </w:tcBorders>
            <w:tcMar>
              <w:top w:type="dxa" w:w="1"/>
              <w:left w:type="dxa" w:w="1"/>
              <w:bottom w:type="dxa" w:w="0"/>
              <w:right w:type="dxa" w:w="1"/>
            </w:tcMar>
          </w:tcPr>
          <w:p/>
        </w:tc>
      </w:tr>
      <w:tr>
        <w:tc>
          <w:tcPr>
            <w:tcW w:type="dxa" w:w="1757"/>
            <w:tcBorders>
              <w:top w:val="none" w:color="000000" w:sz="4"/>
              <w:left w:val="single" w:color="000000" w:sz="4"/>
              <w:bottom w:val="single" w:color="000000" w:sz="4"/>
              <w:right w:val="single" w:color="000000" w:sz="4"/>
            </w:tcBorders>
            <w:tcMar>
              <w:top w:type="dxa" w:w="1"/>
              <w:left w:type="dxa" w:w="1"/>
              <w:bottom w:type="dxa" w:w="0"/>
              <w:right w:type="dxa" w:w="1"/>
            </w:tcMar>
          </w:tcPr>
          <w:p>
            <w:pPr>
              <w:pStyle w:val="null3"/>
              <w:jc w:val="center"/>
            </w:pPr>
            <w:r>
              <w:rPr>
                <w:sz w:val="24"/>
              </w:rPr>
              <w:t>烫印膜</w:t>
            </w:r>
          </w:p>
        </w:tc>
        <w:tc>
          <w:tcPr>
            <w:tcW w:type="dxa" w:w="1307"/>
            <w:tcBorders>
              <w:top w:val="none" w:color="000000" w:sz="4"/>
              <w:left w:val="none" w:color="000000" w:sz="4"/>
              <w:bottom w:val="single" w:color="000000" w:sz="4"/>
              <w:right w:val="single" w:color="000000" w:sz="4"/>
            </w:tcBorders>
            <w:tcMar>
              <w:top w:type="dxa" w:w="1"/>
              <w:left w:type="dxa" w:w="1"/>
              <w:bottom w:type="dxa" w:w="0"/>
              <w:right w:type="dxa" w:w="1"/>
            </w:tcMar>
          </w:tcPr>
          <w:p>
            <w:pPr>
              <w:pStyle w:val="null3"/>
              <w:jc w:val="center"/>
            </w:pPr>
            <w:r>
              <w:rPr>
                <w:sz w:val="24"/>
              </w:rPr>
              <w:t>黑色</w:t>
            </w:r>
          </w:p>
        </w:tc>
        <w:tc>
          <w:tcPr>
            <w:tcW w:type="dxa" w:w="1612"/>
            <w:tcBorders>
              <w:top w:val="none" w:color="000000" w:sz="4"/>
              <w:left w:val="none" w:color="000000" w:sz="4"/>
              <w:bottom w:val="single" w:color="000000" w:sz="4"/>
              <w:right w:val="single" w:color="000000" w:sz="4"/>
            </w:tcBorders>
            <w:tcMar>
              <w:top w:type="dxa" w:w="1"/>
              <w:left w:type="dxa" w:w="1"/>
              <w:bottom w:type="dxa" w:w="0"/>
              <w:right w:type="dxa" w:w="1"/>
            </w:tcMar>
          </w:tcPr>
          <w:p>
            <w:pPr>
              <w:pStyle w:val="null3"/>
              <w:jc w:val="center"/>
            </w:pPr>
            <w:r>
              <w:rPr>
                <w:sz w:val="24"/>
              </w:rPr>
              <w:t>287000</w:t>
            </w:r>
          </w:p>
        </w:tc>
        <w:tc>
          <w:tcPr>
            <w:tcW w:type="dxa" w:w="1888"/>
            <w:tcBorders>
              <w:top w:val="none" w:color="000000" w:sz="4"/>
              <w:left w:val="none" w:color="000000" w:sz="4"/>
              <w:bottom w:val="single" w:color="000000" w:sz="4"/>
              <w:right w:val="single" w:color="000000" w:sz="4"/>
            </w:tcBorders>
            <w:tcMar>
              <w:top w:type="dxa" w:w="1"/>
              <w:left w:type="dxa" w:w="1"/>
              <w:bottom w:type="dxa" w:w="0"/>
              <w:right w:type="dxa" w:w="1"/>
            </w:tcMar>
          </w:tcPr>
          <w:p>
            <w:pPr>
              <w:pStyle w:val="null3"/>
              <w:jc w:val="center"/>
            </w:pPr>
          </w:p>
        </w:tc>
        <w:tc>
          <w:tcPr>
            <w:tcW w:type="dxa" w:w="1743"/>
            <w:tcBorders>
              <w:top w:val="none" w:color="000000" w:sz="4"/>
              <w:left w:val="none" w:color="000000" w:sz="4"/>
              <w:bottom w:val="single" w:color="000000" w:sz="4"/>
              <w:right w:val="single" w:color="000000" w:sz="4"/>
            </w:tcBorders>
            <w:tcMar>
              <w:top w:type="dxa" w:w="1"/>
              <w:left w:type="dxa" w:w="1"/>
              <w:bottom w:type="dxa" w:w="0"/>
              <w:right w:type="dxa" w:w="1"/>
            </w:tcMar>
          </w:tcPr>
          <w:p/>
        </w:tc>
      </w:tr>
      <w:tr>
        <w:tc>
          <w:tcPr>
            <w:tcW w:type="dxa" w:w="6564"/>
            <w:gridSpan w:val="4"/>
            <w:tcBorders>
              <w:top w:val="none" w:color="000000" w:sz="4"/>
              <w:left w:val="single" w:color="000000" w:sz="4"/>
              <w:bottom w:val="single" w:color="000000" w:sz="4"/>
              <w:right w:val="single" w:color="000000" w:sz="4"/>
            </w:tcBorders>
            <w:tcMar>
              <w:top w:type="dxa" w:w="1"/>
              <w:left w:type="dxa" w:w="1"/>
              <w:bottom w:type="dxa" w:w="0"/>
              <w:right w:type="dxa" w:w="1"/>
            </w:tcMar>
          </w:tcPr>
          <w:p>
            <w:pPr>
              <w:pStyle w:val="null3"/>
              <w:jc w:val="center"/>
            </w:pPr>
            <w:r>
              <w:rPr>
                <w:sz w:val="24"/>
              </w:rPr>
              <w:t>共计</w:t>
            </w:r>
          </w:p>
        </w:tc>
        <w:tc>
          <w:tcPr>
            <w:tcW w:type="dxa" w:w="1743"/>
            <w:tcBorders>
              <w:top w:val="none" w:color="000000" w:sz="4"/>
              <w:left w:val="none" w:color="000000" w:sz="4"/>
              <w:bottom w:val="single" w:color="000000" w:sz="4"/>
              <w:right w:val="single" w:color="000000" w:sz="4"/>
            </w:tcBorders>
            <w:tcMar>
              <w:top w:type="dxa" w:w="1"/>
              <w:left w:type="dxa" w:w="1"/>
              <w:bottom w:type="dxa" w:w="0"/>
              <w:right w:type="dxa" w:w="1"/>
            </w:tcMar>
          </w:tcPr>
          <w:p>
            <w:pPr>
              <w:pStyle w:val="null3"/>
              <w:jc w:val="center"/>
            </w:pPr>
          </w:p>
        </w:tc>
      </w:tr>
    </w:tbl>
    <w:p>
      <w:pPr>
        <w:pStyle w:val="null3"/>
        <w:jc w:val="both"/>
      </w:pPr>
      <w:r>
        <w:rPr>
          <w:sz w:val="24"/>
        </w:rPr>
        <w:t>备注：具体以合同单价和实际采购数量进行结算。供货期从合同签订生效之日起一年。</w:t>
      </w:r>
    </w:p>
    <w:p>
      <w:pPr>
        <w:pStyle w:val="null3"/>
        <w:ind w:firstLine="482"/>
        <w:jc w:val="both"/>
      </w:pPr>
      <w:r>
        <w:rPr>
          <w:sz w:val="24"/>
          <w:b/>
        </w:rPr>
        <w:t>三、货物标准</w:t>
      </w:r>
    </w:p>
    <w:p>
      <w:pPr>
        <w:pStyle w:val="null3"/>
        <w:ind w:firstLine="480"/>
        <w:jc w:val="both"/>
      </w:pPr>
      <w:r>
        <w:rPr>
          <w:sz w:val="24"/>
        </w:rPr>
        <w:t>1. 质量标准</w:t>
      </w:r>
    </w:p>
    <w:p>
      <w:pPr>
        <w:pStyle w:val="null3"/>
        <w:ind w:firstLine="480"/>
        <w:jc w:val="both"/>
      </w:pPr>
      <w:r>
        <w:rPr>
          <w:sz w:val="24"/>
        </w:rPr>
        <w:t>1.1本合同所指的货物及服务应符合</w:t>
      </w:r>
      <w:r>
        <w:rPr>
          <w:sz w:val="24"/>
          <w:u w:val="single"/>
        </w:rPr>
        <w:t>广东省特种证件制作中心2024-6新能源汽车号牌原材料采购项目（项目编号：          ）</w:t>
      </w:r>
      <w:r>
        <w:rPr>
          <w:sz w:val="24"/>
        </w:rPr>
        <w:t>采购文件和乙方投标文件中所规定的技术规格和标准；如果没有提及适用标准，应符合中华人民共和国国家标准或行业标准；如果中华人民共和国没有相关标准的，则采用货物来源国适用的官方标准。这些标准必须是有关机构发布的最新版本的标准。</w:t>
      </w:r>
    </w:p>
    <w:p>
      <w:pPr>
        <w:pStyle w:val="null3"/>
        <w:ind w:firstLine="480"/>
        <w:jc w:val="both"/>
      </w:pPr>
      <w:r>
        <w:rPr>
          <w:sz w:val="24"/>
        </w:rPr>
        <w:t>2. 技术要求</w:t>
      </w:r>
    </w:p>
    <w:p>
      <w:pPr>
        <w:pStyle w:val="null3"/>
        <w:ind w:firstLine="480"/>
        <w:jc w:val="both"/>
      </w:pPr>
      <w:r>
        <w:rPr>
          <w:sz w:val="24"/>
        </w:rPr>
        <w:t>2.1货物为国内原产全新（原装）产品，应符合中华人民共和国国家标准或行业标准，具备出厂合格证。</w:t>
      </w:r>
    </w:p>
    <w:p>
      <w:pPr>
        <w:pStyle w:val="null3"/>
        <w:ind w:firstLine="480"/>
        <w:jc w:val="both"/>
      </w:pPr>
      <w:r>
        <w:rPr>
          <w:sz w:val="24"/>
        </w:rPr>
        <w:t>2.2乙方所投新能源汽车号牌反光膜不论在生产制作过程和使用过程中都须符合公共安全行业标准《机动车号牌用反光膜》（GA666-2018）、《机动车号牌监制规范》（GA/T 1287-2016）及《中华人民共和国机动车号牌》（GA36-2018）等规范要求。并提供有效期内的公安部交通安全产品质量监督检测中心的检测报告。在合同期内，如行业标准有新的修订，乙方必须按新的标准要求提供合格产品。</w:t>
      </w:r>
    </w:p>
    <w:p>
      <w:pPr>
        <w:pStyle w:val="null3"/>
        <w:ind w:firstLine="480"/>
        <w:jc w:val="both"/>
      </w:pPr>
      <w:r>
        <w:rPr>
          <w:sz w:val="24"/>
        </w:rPr>
        <w:t>2.3乙方所投同批次新能源汽车号牌反光膜应堆放在同一托板上。</w:t>
      </w:r>
    </w:p>
    <w:p>
      <w:pPr>
        <w:pStyle w:val="null3"/>
        <w:ind w:firstLine="480"/>
        <w:jc w:val="both"/>
      </w:pPr>
      <w:r>
        <w:rPr>
          <w:sz w:val="24"/>
        </w:rPr>
        <w:t>2.4乙方所投新能源汽车号牌反光膜外表面应平滑、光洁，不应有明显的划痕、气泡、条纹、裂纹、颜色不均匀等缺陷或损伤。</w:t>
      </w:r>
    </w:p>
    <w:p>
      <w:pPr>
        <w:pStyle w:val="null3"/>
        <w:ind w:firstLine="480"/>
        <w:jc w:val="both"/>
      </w:pPr>
      <w:r>
        <w:rPr>
          <w:sz w:val="24"/>
        </w:rPr>
        <w:t>2.5乙方所投新能源汽车号牌反光膜表面不同区域的反光效果应均匀，不应有明显差异。</w:t>
      </w:r>
    </w:p>
    <w:p>
      <w:pPr>
        <w:pStyle w:val="null3"/>
        <w:ind w:firstLine="480"/>
        <w:jc w:val="both"/>
      </w:pPr>
      <w:r>
        <w:rPr>
          <w:sz w:val="24"/>
        </w:rPr>
        <w:t>2.6乙方所投新能源汽车号牌反光膜表面应有冲压定位色块，两侧的定位色块要均分，前后的定位色块要等距。</w:t>
      </w:r>
    </w:p>
    <w:p>
      <w:pPr>
        <w:pStyle w:val="null3"/>
        <w:ind w:firstLine="480"/>
        <w:jc w:val="both"/>
      </w:pPr>
      <w:r>
        <w:rPr>
          <w:sz w:val="24"/>
        </w:rPr>
        <w:t>2.7乙方所投同批新能源汽车号牌反光膜在相同温湿度下，抗拉性能应保持一致。</w:t>
      </w:r>
    </w:p>
    <w:p>
      <w:pPr>
        <w:pStyle w:val="null3"/>
        <w:ind w:firstLine="480"/>
        <w:jc w:val="both"/>
      </w:pPr>
      <w:r>
        <w:rPr>
          <w:sz w:val="24"/>
        </w:rPr>
        <w:t>2.8乙方所投新能源汽车号牌反光膜接头处和底纸接头处应平整牢固，没有缝隙，抗拉性能强。</w:t>
      </w:r>
    </w:p>
    <w:p>
      <w:pPr>
        <w:pStyle w:val="null3"/>
        <w:ind w:firstLine="480"/>
        <w:jc w:val="both"/>
      </w:pPr>
      <w:r>
        <w:rPr>
          <w:sz w:val="24"/>
        </w:rPr>
        <w:t>2.9乙方所投同批新能源汽车号牌反光膜不得存在肉眼可见色差，经检测的色差数值须符合行业标准。</w:t>
      </w:r>
    </w:p>
    <w:p>
      <w:pPr>
        <w:pStyle w:val="null3"/>
        <w:ind w:firstLine="480"/>
        <w:jc w:val="both"/>
      </w:pPr>
      <w:r>
        <w:rPr>
          <w:sz w:val="24"/>
        </w:rPr>
        <w:t>2.10乙方所投新能源汽车号牌反光膜的中心卷筒材料、卷筒内径、卷筒外径规格须统一。</w:t>
      </w:r>
    </w:p>
    <w:p>
      <w:pPr>
        <w:pStyle w:val="null3"/>
        <w:ind w:firstLine="480"/>
        <w:jc w:val="both"/>
      </w:pPr>
      <w:r>
        <w:rPr>
          <w:sz w:val="24"/>
        </w:rPr>
        <w:t>2.11乙方所投新能源汽车号牌反光膜须采用多卷整体包装，不接受单卷独立封装。</w:t>
      </w:r>
    </w:p>
    <w:p>
      <w:pPr>
        <w:pStyle w:val="null3"/>
        <w:ind w:firstLine="480"/>
        <w:jc w:val="both"/>
      </w:pPr>
      <w:r>
        <w:rPr>
          <w:sz w:val="24"/>
        </w:rPr>
        <w:t>2.12乙方所投新能源汽车号牌反光膜尺寸以甲方实际订单为准。</w:t>
      </w:r>
    </w:p>
    <w:p>
      <w:pPr>
        <w:pStyle w:val="null3"/>
        <w:ind w:firstLine="480"/>
        <w:jc w:val="both"/>
      </w:pPr>
      <w:r>
        <w:rPr>
          <w:sz w:val="24"/>
        </w:rPr>
        <w:t>2.13乙方所投新能源汽车号牌烫印膜不论在生产制作过程和使用过程中都须符合公共安全行业标准《机动车号牌用烫印膜》（GA/T 1083-2013）规范要求，并提供有效期内的公安部交通安全产品质量监督检测中心的检测报告。在合同期内，如行业标准有新的修订，乙方必须按新的标准要求提供合格产品。</w:t>
      </w:r>
    </w:p>
    <w:p>
      <w:pPr>
        <w:pStyle w:val="null3"/>
        <w:ind w:firstLine="480"/>
        <w:jc w:val="both"/>
      </w:pPr>
      <w:r>
        <w:rPr>
          <w:sz w:val="24"/>
        </w:rPr>
        <w:t>2.14烫印膜尺寸以甲方实际订单为准。</w:t>
      </w:r>
    </w:p>
    <w:p>
      <w:pPr>
        <w:pStyle w:val="null3"/>
        <w:ind w:firstLine="482"/>
        <w:jc w:val="both"/>
      </w:pPr>
      <w:r>
        <w:rPr>
          <w:sz w:val="24"/>
          <w:b/>
        </w:rPr>
        <w:t>四、合同货款</w:t>
      </w:r>
    </w:p>
    <w:p>
      <w:pPr>
        <w:pStyle w:val="null3"/>
        <w:ind w:firstLine="482"/>
        <w:jc w:val="both"/>
      </w:pPr>
      <w:r>
        <w:rPr>
          <w:sz w:val="24"/>
        </w:rPr>
        <w:t>1．合同总价： 小写</w:t>
      </w:r>
      <w:r>
        <w:rPr>
          <w:sz w:val="24"/>
        </w:rPr>
        <w:t>：</w:t>
      </w:r>
      <w:r>
        <w:rPr>
          <w:sz w:val="24"/>
          <w:u w:val="single"/>
        </w:rPr>
        <w:t xml:space="preserve">￥            </w:t>
      </w:r>
      <w:r>
        <w:rPr>
          <w:sz w:val="24"/>
        </w:rPr>
        <w:t>元 ，</w:t>
      </w:r>
      <w:r>
        <w:rPr>
          <w:sz w:val="24"/>
        </w:rPr>
        <w:t>大写</w:t>
      </w:r>
      <w:r>
        <w:rPr>
          <w:sz w:val="24"/>
        </w:rPr>
        <w:t>：</w:t>
      </w:r>
      <w:r>
        <w:rPr>
          <w:sz w:val="24"/>
        </w:rPr>
        <w:t>人民币</w:t>
      </w:r>
      <w:r>
        <w:rPr>
          <w:sz w:val="24"/>
          <w:u w:val="single"/>
        </w:rPr>
        <w:t xml:space="preserve">     万</w:t>
      </w:r>
      <w:r>
        <w:rPr>
          <w:sz w:val="24"/>
          <w:u w:val="single"/>
        </w:rPr>
        <w:t xml:space="preserve">     </w:t>
      </w:r>
      <w:r>
        <w:rPr>
          <w:sz w:val="24"/>
          <w:u w:val="single"/>
        </w:rPr>
        <w:t>仟</w:t>
      </w:r>
      <w:r>
        <w:rPr>
          <w:sz w:val="24"/>
          <w:u w:val="single"/>
        </w:rPr>
        <w:t xml:space="preserve">     </w:t>
      </w:r>
      <w:r>
        <w:rPr>
          <w:sz w:val="24"/>
          <w:u w:val="single"/>
        </w:rPr>
        <w:t>佰</w:t>
      </w:r>
      <w:r>
        <w:rPr>
          <w:sz w:val="24"/>
          <w:u w:val="single"/>
        </w:rPr>
        <w:t xml:space="preserve">     </w:t>
      </w:r>
      <w:r>
        <w:rPr>
          <w:sz w:val="24"/>
          <w:u w:val="single"/>
        </w:rPr>
        <w:t>拾</w:t>
      </w:r>
      <w:r>
        <w:rPr>
          <w:sz w:val="24"/>
          <w:u w:val="single"/>
        </w:rPr>
        <w:t xml:space="preserve">     </w:t>
      </w:r>
      <w:r>
        <w:rPr>
          <w:sz w:val="24"/>
          <w:u w:val="single"/>
        </w:rPr>
        <w:t>元</w:t>
      </w:r>
      <w:r>
        <w:rPr>
          <w:sz w:val="24"/>
          <w:u w:val="single"/>
        </w:rPr>
        <w:t xml:space="preserve">     </w:t>
      </w:r>
      <w:r>
        <w:rPr>
          <w:sz w:val="24"/>
          <w:u w:val="single"/>
        </w:rPr>
        <w:t>角</w:t>
      </w:r>
      <w:r>
        <w:rPr>
          <w:sz w:val="24"/>
        </w:rPr>
        <w:t>整。</w:t>
      </w:r>
    </w:p>
    <w:p>
      <w:pPr>
        <w:pStyle w:val="null3"/>
        <w:ind w:firstLine="480"/>
        <w:jc w:val="both"/>
      </w:pPr>
      <w:r>
        <w:rPr>
          <w:sz w:val="24"/>
        </w:rPr>
        <w:t>2．合同总价包括了货物的设计、制造、包装、仓储、运输、保险以及乙方进行的培训、技术服务（包括技术资料）、投标文件中列明所需的备品备件，质保期保障服务等的全部含税费用。</w:t>
      </w:r>
    </w:p>
    <w:p>
      <w:pPr>
        <w:pStyle w:val="null3"/>
        <w:ind w:firstLine="480"/>
        <w:jc w:val="both"/>
      </w:pPr>
      <w:r>
        <w:rPr>
          <w:sz w:val="24"/>
        </w:rPr>
        <w:t>3．保费：货物交付之前的所有保险费用和派往甲方进行服务人员的人身险和其他有关险种，以及有关费用由乙方负责。</w:t>
      </w:r>
    </w:p>
    <w:p>
      <w:pPr>
        <w:pStyle w:val="null3"/>
        <w:ind w:firstLine="480"/>
        <w:jc w:val="both"/>
      </w:pPr>
      <w:r>
        <w:rPr>
          <w:sz w:val="24"/>
        </w:rPr>
        <w:t>4．合同单价固定不变，本合同以单价和实际采购数量进行结算，结算总价不超过（可以低于）本条第1款约定的合同总价。</w:t>
      </w:r>
    </w:p>
    <w:p>
      <w:pPr>
        <w:pStyle w:val="null3"/>
        <w:ind w:firstLine="482"/>
        <w:jc w:val="both"/>
      </w:pPr>
      <w:r>
        <w:rPr>
          <w:sz w:val="24"/>
          <w:b/>
        </w:rPr>
        <w:t>五、货款支付</w:t>
      </w:r>
    </w:p>
    <w:p>
      <w:pPr>
        <w:pStyle w:val="null3"/>
        <w:ind w:firstLine="480"/>
        <w:jc w:val="both"/>
      </w:pPr>
      <w:r>
        <w:rPr>
          <w:sz w:val="24"/>
        </w:rPr>
        <w:t>1．付款方式：甲方在收到乙方提供的正式发票之日起15日内</w:t>
      </w:r>
      <w:r>
        <w:rPr>
          <w:sz w:val="24"/>
          <w:u w:val="single"/>
        </w:rPr>
        <w:t>以银行转账方式</w:t>
      </w:r>
      <w:r>
        <w:rPr>
          <w:sz w:val="24"/>
        </w:rPr>
        <w:t>支付乙方货款。</w:t>
      </w:r>
    </w:p>
    <w:p>
      <w:pPr>
        <w:pStyle w:val="null3"/>
        <w:ind w:firstLine="480"/>
        <w:jc w:val="left"/>
      </w:pPr>
      <w:r>
        <w:rPr>
          <w:sz w:val="24"/>
        </w:rPr>
        <w:t>2</w:t>
      </w:r>
      <w:r>
        <w:rPr>
          <w:sz w:val="24"/>
        </w:rPr>
        <w:t>．</w:t>
      </w:r>
      <w:r>
        <w:rPr>
          <w:sz w:val="24"/>
        </w:rPr>
        <w:t>因甲方使用的是财政资金，甲方在前款规定的付款时间为向政府采购支付部门提出办理财政支付申请手续的时间（不含政府财政支付部门审核的时间），乙方不得以资金付款期限已过为由向甲方索赔或支付违约金。</w:t>
      </w:r>
    </w:p>
    <w:p>
      <w:pPr>
        <w:pStyle w:val="null3"/>
        <w:ind w:firstLine="480"/>
        <w:jc w:val="left"/>
      </w:pPr>
      <w:r>
        <w:rPr>
          <w:sz w:val="24"/>
        </w:rPr>
        <w:t>3．每次乙方申请支付合同款项时，乙方必须提前5个工作日向甲方提供与当期支付款项金额等值的中华人民共和国大陆地区合法有效发票。甲方未收到发票的，有权延期付款，并不视为违约，乙方不得以此追究甲方的违约责任。</w:t>
      </w:r>
    </w:p>
    <w:p>
      <w:pPr>
        <w:pStyle w:val="null3"/>
        <w:ind w:firstLine="480"/>
        <w:jc w:val="left"/>
      </w:pPr>
      <w:r>
        <w:rPr>
          <w:sz w:val="24"/>
        </w:rPr>
        <w:t>4</w:t>
      </w:r>
      <w:r>
        <w:rPr>
          <w:sz w:val="24"/>
        </w:rPr>
        <w:t>．</w:t>
      </w:r>
      <w:r>
        <w:rPr>
          <w:sz w:val="24"/>
        </w:rPr>
        <w:t>正常情况下，货款每个月结算一次，如果因报账手续办理期间，无法按时支付货款，乙方应按甲方要求，保证所投产品的正常配送，无条件按时供应，不能因货款不到位停止供货。</w:t>
      </w:r>
    </w:p>
    <w:p>
      <w:pPr>
        <w:pStyle w:val="null3"/>
        <w:ind w:firstLine="480"/>
        <w:jc w:val="both"/>
      </w:pPr>
      <w:r>
        <w:rPr>
          <w:sz w:val="24"/>
        </w:rPr>
        <w:t>5</w:t>
      </w:r>
      <w:r>
        <w:rPr>
          <w:sz w:val="24"/>
        </w:rPr>
        <w:t>．</w:t>
      </w:r>
      <w:r>
        <w:rPr>
          <w:sz w:val="24"/>
        </w:rPr>
        <w:t>分包合同价款(根据招标书分包协议的要求添加)</w:t>
      </w:r>
    </w:p>
    <w:p>
      <w:pPr>
        <w:pStyle w:val="null3"/>
        <w:ind w:firstLine="480"/>
        <w:jc w:val="both"/>
      </w:pPr>
      <w:r>
        <w:rPr>
          <w:sz w:val="24"/>
        </w:rPr>
        <w:t>5.1允许分包的内容：</w:t>
      </w:r>
      <w:r>
        <w:rPr>
          <w:sz w:val="24"/>
          <w:u w:val="single"/>
        </w:rPr>
        <w:t xml:space="preserve">                 </w:t>
      </w:r>
      <w:r>
        <w:rPr>
          <w:sz w:val="24"/>
        </w:rPr>
        <w:t>。</w:t>
      </w:r>
    </w:p>
    <w:p>
      <w:pPr>
        <w:pStyle w:val="null3"/>
        <w:ind w:firstLine="480"/>
        <w:jc w:val="both"/>
      </w:pPr>
      <w:r>
        <w:rPr>
          <w:sz w:val="24"/>
        </w:rPr>
        <w:t>5.2乙方将采购合同中的一定比例分包给</w:t>
      </w:r>
      <w:r>
        <w:rPr>
          <w:sz w:val="24"/>
          <w:u w:val="single"/>
        </w:rPr>
        <w:t xml:space="preserve">        </w:t>
      </w:r>
      <w:r>
        <w:rPr>
          <w:sz w:val="24"/>
        </w:rPr>
        <w:t>，分包的金额所占本合同金额比例为</w:t>
      </w:r>
      <w:r>
        <w:rPr>
          <w:sz w:val="24"/>
          <w:u w:val="single"/>
        </w:rPr>
        <w:t xml:space="preserve">    </w:t>
      </w:r>
      <w:r>
        <w:rPr>
          <w:sz w:val="24"/>
        </w:rPr>
        <w:t>%，即小写</w:t>
      </w:r>
      <w:r>
        <w:rPr>
          <w:sz w:val="24"/>
        </w:rPr>
        <w:t>：</w:t>
      </w:r>
      <w:r>
        <w:rPr>
          <w:sz w:val="24"/>
        </w:rPr>
        <w:t>¥</w:t>
      </w:r>
      <w:r>
        <w:rPr>
          <w:sz w:val="24"/>
          <w:u w:val="single"/>
        </w:rPr>
        <w:t xml:space="preserve">           </w:t>
      </w:r>
      <w:r>
        <w:rPr>
          <w:sz w:val="24"/>
        </w:rPr>
        <w:t>元，大写</w:t>
      </w:r>
      <w:r>
        <w:rPr>
          <w:sz w:val="24"/>
        </w:rPr>
        <w:t>：</w:t>
      </w:r>
      <w:r>
        <w:rPr>
          <w:sz w:val="24"/>
        </w:rPr>
        <w:t>人民币    万  仟  佰  拾   元  角  分。</w:t>
      </w:r>
    </w:p>
    <w:p>
      <w:pPr>
        <w:pStyle w:val="null3"/>
        <w:ind w:firstLine="480"/>
        <w:jc w:val="both"/>
      </w:pPr>
      <w:r>
        <w:rPr>
          <w:sz w:val="24"/>
        </w:rPr>
        <w:t>5.3分包合同价款由乙方与分包人结算。</w:t>
      </w:r>
    </w:p>
    <w:p>
      <w:pPr>
        <w:pStyle w:val="null3"/>
        <w:ind w:firstLine="480"/>
        <w:jc w:val="both"/>
      </w:pPr>
      <w:r>
        <w:rPr>
          <w:sz w:val="24"/>
        </w:rPr>
        <w:t>5.4供货方式：由总包单位统一供货。</w:t>
      </w:r>
    </w:p>
    <w:p>
      <w:pPr>
        <w:pStyle w:val="null3"/>
        <w:ind w:firstLine="480"/>
        <w:jc w:val="both"/>
      </w:pPr>
      <w:r>
        <w:rPr>
          <w:sz w:val="24"/>
        </w:rPr>
        <w:t>5.5分包的具体约定见附件1：《分包意向协议书》。</w:t>
      </w:r>
    </w:p>
    <w:p>
      <w:pPr>
        <w:pStyle w:val="null3"/>
        <w:ind w:firstLine="482"/>
        <w:jc w:val="both"/>
      </w:pPr>
      <w:r>
        <w:rPr>
          <w:sz w:val="24"/>
          <w:b/>
        </w:rPr>
        <w:t>六、货物交付</w:t>
      </w:r>
    </w:p>
    <w:p>
      <w:pPr>
        <w:pStyle w:val="null3"/>
        <w:ind w:firstLine="480"/>
        <w:jc w:val="both"/>
      </w:pPr>
      <w:r>
        <w:rPr>
          <w:sz w:val="24"/>
        </w:rPr>
        <w:t>1．货物交付方式为：乙方免费提供送货、售后等服务。</w:t>
      </w:r>
    </w:p>
    <w:p>
      <w:pPr>
        <w:pStyle w:val="null3"/>
        <w:ind w:firstLine="480"/>
        <w:jc w:val="both"/>
      </w:pPr>
      <w:r>
        <w:rPr>
          <w:sz w:val="24"/>
        </w:rPr>
        <w:t>2．货物交付地点为：乙方承担产品的配送责任（包括物流车辆、司机及装卸人员、装卸工具等均由乙方负责，并承担相关费用），必须根据甲方订单的要求，按时按量送货至广州市天河区天河工业园建中路52号指定位置。</w:t>
      </w:r>
    </w:p>
    <w:p>
      <w:pPr>
        <w:pStyle w:val="null3"/>
        <w:ind w:firstLine="480"/>
        <w:jc w:val="both"/>
      </w:pPr>
      <w:r>
        <w:rPr>
          <w:sz w:val="24"/>
        </w:rPr>
        <w:t>3. 交货时间：乙方必须从合同签订后</w:t>
      </w:r>
      <w:r>
        <w:rPr>
          <w:sz w:val="24"/>
          <w:u w:val="single"/>
        </w:rPr>
        <w:t>7</w:t>
      </w:r>
      <w:r>
        <w:rPr>
          <w:sz w:val="24"/>
        </w:rPr>
        <w:t>天内按照甲方的要求供应合格产品，确保甲方工作的顺利开展。</w:t>
      </w:r>
    </w:p>
    <w:p>
      <w:pPr>
        <w:pStyle w:val="null3"/>
        <w:ind w:firstLine="480"/>
        <w:jc w:val="both"/>
      </w:pPr>
      <w:r>
        <w:rPr>
          <w:sz w:val="24"/>
        </w:rPr>
        <w:t>4</w:t>
      </w:r>
      <w:r>
        <w:rPr>
          <w:sz w:val="24"/>
        </w:rPr>
        <w:t>．</w:t>
      </w:r>
      <w:r>
        <w:rPr>
          <w:sz w:val="24"/>
        </w:rPr>
        <w:t>在合同约定期限内乙方违约未能及时交货的，产品的灭失、毁损的风险由乙方承担；产品交付后或甲方违约致使乙方、延期交货的，产品的灭失、毁损的风险由甲方承担。</w:t>
      </w:r>
    </w:p>
    <w:p>
      <w:pPr>
        <w:pStyle w:val="null3"/>
        <w:ind w:firstLine="480"/>
        <w:jc w:val="both"/>
      </w:pPr>
      <w:r>
        <w:rPr>
          <w:sz w:val="24"/>
        </w:rPr>
        <w:t>5．货物交付的特别要求</w:t>
      </w:r>
    </w:p>
    <w:p>
      <w:pPr>
        <w:pStyle w:val="null3"/>
        <w:ind w:firstLine="480"/>
        <w:jc w:val="both"/>
      </w:pPr>
      <w:r>
        <w:rPr>
          <w:sz w:val="24"/>
        </w:rPr>
        <w:t>5.1国内货物必须具备出厂合格证。</w:t>
      </w:r>
    </w:p>
    <w:p>
      <w:pPr>
        <w:pStyle w:val="null3"/>
        <w:ind w:firstLine="480"/>
        <w:jc w:val="both"/>
      </w:pPr>
      <w:r>
        <w:rPr>
          <w:sz w:val="24"/>
        </w:rPr>
        <w:t>5.2进口货物必须具备有效的原产地证明、商检部门的检验证明及其他合法证明。</w:t>
      </w:r>
    </w:p>
    <w:p>
      <w:pPr>
        <w:pStyle w:val="null3"/>
        <w:ind w:firstLine="480"/>
        <w:jc w:val="both"/>
      </w:pPr>
      <w:r>
        <w:rPr>
          <w:sz w:val="24"/>
        </w:rPr>
        <w:t>5.3乙方交货时应将所供货物经国家有关部门颁发的产品鉴定证书、使用许可证、用户手册、产品合格证、保修手册、有关图纸、资料及配件、随机工具等一并交付给甲方。</w:t>
      </w:r>
    </w:p>
    <w:p>
      <w:pPr>
        <w:pStyle w:val="null3"/>
        <w:ind w:firstLine="480"/>
        <w:jc w:val="both"/>
      </w:pPr>
      <w:r>
        <w:rPr>
          <w:sz w:val="24"/>
        </w:rPr>
        <w:t>5.4货物无所有权及知识产权争议、无侵权行为，在中国境内可合法使用。</w:t>
      </w:r>
    </w:p>
    <w:p>
      <w:pPr>
        <w:pStyle w:val="null3"/>
        <w:ind w:firstLine="480"/>
        <w:jc w:val="both"/>
      </w:pPr>
      <w:r>
        <w:rPr>
          <w:sz w:val="24"/>
        </w:rPr>
        <w:t>5.5产品在贮存及运输途中应避免受到雨淋、暴晒、受潮、撞击和污染，因上述原因造成的损失，由乙方承担。货物的包装费应包括在投标报价中，包装材料属甲方所有。</w:t>
      </w:r>
    </w:p>
    <w:p>
      <w:pPr>
        <w:pStyle w:val="null3"/>
        <w:ind w:firstLine="480"/>
        <w:jc w:val="left"/>
      </w:pPr>
      <w:r>
        <w:rPr>
          <w:sz w:val="24"/>
        </w:rPr>
        <w:t>5.6若因国家政策影响导致甲方无采购需求或无法采购，甲方有权单方面终止合同，乙方不得追究甲方责任。</w:t>
      </w:r>
    </w:p>
    <w:p>
      <w:pPr>
        <w:pStyle w:val="null3"/>
        <w:ind w:firstLine="482"/>
        <w:jc w:val="both"/>
      </w:pPr>
      <w:r>
        <w:rPr>
          <w:sz w:val="24"/>
          <w:b/>
        </w:rPr>
        <w:t>七、保密事项</w:t>
      </w:r>
    </w:p>
    <w:p>
      <w:pPr>
        <w:pStyle w:val="null3"/>
        <w:ind w:firstLine="480"/>
        <w:jc w:val="both"/>
      </w:pPr>
      <w:r>
        <w:rPr>
          <w:sz w:val="24"/>
        </w:rPr>
        <w:t>1</w:t>
      </w:r>
      <w:r>
        <w:rPr>
          <w:sz w:val="24"/>
        </w:rPr>
        <w:t>．</w:t>
      </w:r>
      <w:r>
        <w:rPr>
          <w:sz w:val="24"/>
        </w:rPr>
        <w:t>乙方在签订和履行本合同中知悉的甲方的全部信息均为甲方的秘密。</w:t>
      </w:r>
    </w:p>
    <w:p>
      <w:pPr>
        <w:pStyle w:val="null3"/>
        <w:ind w:firstLine="480"/>
        <w:jc w:val="both"/>
      </w:pPr>
      <w:r>
        <w:rPr>
          <w:sz w:val="24"/>
        </w:rPr>
        <w:t>2</w:t>
      </w:r>
      <w:r>
        <w:rPr>
          <w:sz w:val="24"/>
        </w:rPr>
        <w:t>．</w:t>
      </w:r>
      <w:r>
        <w:rPr>
          <w:sz w:val="24"/>
        </w:rPr>
        <w:t>未经甲方同意，乙方不得将甲方提供的物件交给第三方，亦不得用于其他用途。乙方履行合同的相关人员应做好保密工作。若乙方违反保密事项，造成甲方损失的，由乙方承担责任。</w:t>
      </w:r>
    </w:p>
    <w:p>
      <w:pPr>
        <w:pStyle w:val="null3"/>
        <w:ind w:firstLine="480"/>
        <w:jc w:val="both"/>
      </w:pPr>
      <w:r>
        <w:rPr>
          <w:sz w:val="24"/>
        </w:rPr>
        <w:t>3</w:t>
      </w:r>
      <w:r>
        <w:rPr>
          <w:sz w:val="24"/>
        </w:rPr>
        <w:t>．</w:t>
      </w:r>
      <w:r>
        <w:rPr>
          <w:sz w:val="24"/>
        </w:rPr>
        <w:t>除合同本身外，上款所列举的任何物件均是甲方的财产。若甲方有要求，乙方在完成合同后应将这些物件及全部复制件交还给甲方。</w:t>
      </w:r>
    </w:p>
    <w:p>
      <w:pPr>
        <w:pStyle w:val="null3"/>
        <w:ind w:firstLine="480"/>
        <w:jc w:val="both"/>
      </w:pPr>
      <w:r>
        <w:rPr>
          <w:sz w:val="24"/>
        </w:rPr>
        <w:t>4</w:t>
      </w:r>
      <w:r>
        <w:rPr>
          <w:sz w:val="24"/>
        </w:rPr>
        <w:t>．</w:t>
      </w:r>
      <w:r>
        <w:rPr>
          <w:sz w:val="24"/>
        </w:rPr>
        <w:t>保密期限自乙方接收到甲方保密信息之日起直至甲方保密信息被公开之日。</w:t>
      </w:r>
    </w:p>
    <w:p>
      <w:pPr>
        <w:pStyle w:val="null3"/>
        <w:ind w:firstLine="480"/>
        <w:jc w:val="both"/>
      </w:pPr>
      <w:r>
        <w:rPr>
          <w:sz w:val="24"/>
        </w:rPr>
        <w:t>5</w:t>
      </w:r>
      <w:r>
        <w:rPr>
          <w:sz w:val="24"/>
        </w:rPr>
        <w:t>．</w:t>
      </w:r>
      <w:r>
        <w:rPr>
          <w:sz w:val="24"/>
        </w:rPr>
        <w:t>乙方应严格遵守国家有关保密法律法规，不得泄露与本项目有关的秘密，亦不得将其用于履行本合同之外的其他用途，即便提供给与履行本合同有关的人员，也应该保密并限于履行合同所需范围内使用。造成泄密的，将依法追究有关人员的法律责任。无论本合同是否变更、解除、终止，本条款均持续有效。</w:t>
      </w:r>
    </w:p>
    <w:p>
      <w:pPr>
        <w:pStyle w:val="null3"/>
        <w:ind w:firstLine="482"/>
        <w:jc w:val="both"/>
      </w:pPr>
      <w:r>
        <w:rPr>
          <w:sz w:val="24"/>
          <w:b/>
        </w:rPr>
        <w:t>八、技术文件</w:t>
      </w:r>
    </w:p>
    <w:p>
      <w:pPr>
        <w:pStyle w:val="null3"/>
        <w:ind w:firstLine="480"/>
        <w:jc w:val="both"/>
      </w:pPr>
      <w:r>
        <w:rPr>
          <w:sz w:val="24"/>
        </w:rPr>
        <w:t>乙方应将货物的用户手册、保修手册、有关单证资料及配备件、随机工具等交付给甲方，使用操作及安全须知等资料应附有中文说明。</w:t>
      </w:r>
    </w:p>
    <w:p>
      <w:pPr>
        <w:pStyle w:val="null3"/>
        <w:ind w:firstLine="482"/>
        <w:jc w:val="both"/>
      </w:pPr>
      <w:r>
        <w:rPr>
          <w:sz w:val="24"/>
          <w:b/>
        </w:rPr>
        <w:t>九、知识产权</w:t>
      </w:r>
    </w:p>
    <w:p>
      <w:pPr>
        <w:pStyle w:val="null3"/>
        <w:ind w:firstLine="480"/>
        <w:jc w:val="left"/>
      </w:pPr>
      <w:r>
        <w:rPr>
          <w:sz w:val="24"/>
        </w:rPr>
        <w:t>1</w:t>
      </w:r>
      <w:r>
        <w:rPr>
          <w:sz w:val="24"/>
        </w:rPr>
        <w:t>．</w:t>
      </w:r>
      <w:r>
        <w:rPr>
          <w:sz w:val="24"/>
        </w:rPr>
        <w:t>乙方保证合同项下提供的货物、产品、设备等不侵犯任何第三方的专利、无侵权行为，在中国境内可合法使用。甲方在中华人民共和国使用该货物或货物的任何一部分时，如受第三方提出的侵犯其专利权、商标、版权或其他知识产权的起诉，由乙方承担一切责任，如因此给甲方造成损失的，乙方需要向甲方承担赔偿责任，并承担因此而发生的所有费用。</w:t>
      </w:r>
    </w:p>
    <w:p>
      <w:pPr>
        <w:pStyle w:val="null3"/>
        <w:ind w:firstLine="480"/>
        <w:jc w:val="both"/>
      </w:pPr>
      <w:r>
        <w:rPr>
          <w:sz w:val="24"/>
        </w:rPr>
        <w:t>2</w:t>
      </w:r>
      <w:r>
        <w:rPr>
          <w:sz w:val="24"/>
        </w:rPr>
        <w:t>．</w:t>
      </w:r>
      <w:r>
        <w:rPr>
          <w:sz w:val="24"/>
        </w:rPr>
        <w:t>乙方保证合同项下提供的产品和设备等不侵犯任何第三方的专利、商标或版权。否则，乙方须承担对第三方的专利或版权的侵权责任并承担因此而发生的所有费用。</w:t>
      </w:r>
    </w:p>
    <w:p>
      <w:pPr>
        <w:pStyle w:val="null3"/>
        <w:ind w:firstLine="480"/>
        <w:jc w:val="both"/>
      </w:pPr>
      <w:r>
        <w:rPr>
          <w:sz w:val="24"/>
        </w:rPr>
        <w:t>3</w:t>
      </w:r>
      <w:r>
        <w:rPr>
          <w:sz w:val="24"/>
        </w:rPr>
        <w:t>．</w:t>
      </w:r>
      <w:r>
        <w:rPr>
          <w:sz w:val="24"/>
        </w:rPr>
        <w:t>乙方为执行本合同而提供的技术资料、软件的使用权归甲方所有。</w:t>
      </w:r>
    </w:p>
    <w:p>
      <w:pPr>
        <w:pStyle w:val="null3"/>
        <w:ind w:firstLine="480"/>
        <w:jc w:val="both"/>
      </w:pPr>
      <w:r>
        <w:rPr>
          <w:sz w:val="24"/>
        </w:rPr>
        <w:t>4</w:t>
      </w:r>
      <w:r>
        <w:rPr>
          <w:sz w:val="24"/>
        </w:rPr>
        <w:t>．</w:t>
      </w:r>
      <w:r>
        <w:rPr>
          <w:sz w:val="24"/>
        </w:rPr>
        <w:t>如果采购文件和投标文件有特别约定的，由甲乙双方协商后补充,经双方法人代表或授权代表签字并加盖公章进行确认。</w:t>
      </w:r>
    </w:p>
    <w:p>
      <w:pPr>
        <w:pStyle w:val="null3"/>
        <w:ind w:firstLine="482"/>
        <w:jc w:val="both"/>
      </w:pPr>
      <w:r>
        <w:rPr>
          <w:sz w:val="24"/>
          <w:b/>
        </w:rPr>
        <w:t>十、包装要求</w:t>
      </w:r>
    </w:p>
    <w:p>
      <w:pPr>
        <w:pStyle w:val="null3"/>
        <w:ind w:firstLine="480"/>
        <w:jc w:val="both"/>
      </w:pPr>
      <w:r>
        <w:rPr>
          <w:sz w:val="24"/>
        </w:rPr>
        <w:t>1</w:t>
      </w:r>
      <w:r>
        <w:rPr>
          <w:sz w:val="24"/>
        </w:rPr>
        <w:t>．</w:t>
      </w:r>
      <w:r>
        <w:rPr>
          <w:sz w:val="24"/>
        </w:rPr>
        <w:t>包装必须与运输方式相适应，包装费用由乙方负责。</w:t>
      </w:r>
    </w:p>
    <w:p>
      <w:pPr>
        <w:pStyle w:val="null3"/>
        <w:ind w:firstLine="480"/>
        <w:jc w:val="both"/>
      </w:pPr>
      <w:r>
        <w:rPr>
          <w:sz w:val="24"/>
        </w:rPr>
        <w:t>2</w:t>
      </w:r>
      <w:r>
        <w:rPr>
          <w:sz w:val="24"/>
        </w:rPr>
        <w:t>．</w:t>
      </w:r>
      <w:r>
        <w:rPr>
          <w:sz w:val="24"/>
        </w:rPr>
        <w:t>包装应足以承受整个过程中的运输、转运、装卸、储存等。充分考虑到运输途中的各种情况，以及露天存放的需要。</w:t>
      </w:r>
    </w:p>
    <w:p>
      <w:pPr>
        <w:pStyle w:val="null3"/>
        <w:ind w:firstLine="480"/>
        <w:jc w:val="both"/>
      </w:pPr>
      <w:r>
        <w:rPr>
          <w:sz w:val="24"/>
        </w:rPr>
        <w:t>3</w:t>
      </w:r>
      <w:r>
        <w:rPr>
          <w:sz w:val="24"/>
        </w:rPr>
        <w:t>．</w:t>
      </w:r>
      <w:r>
        <w:rPr>
          <w:sz w:val="24"/>
        </w:rPr>
        <w:t>专用工具及备品备件应分别包装，并在包装箱外加以注明其用处。</w:t>
      </w:r>
    </w:p>
    <w:p>
      <w:pPr>
        <w:pStyle w:val="null3"/>
        <w:ind w:firstLine="480"/>
        <w:jc w:val="both"/>
      </w:pPr>
      <w:r>
        <w:rPr>
          <w:sz w:val="24"/>
        </w:rPr>
        <w:t>4</w:t>
      </w:r>
      <w:r>
        <w:rPr>
          <w:sz w:val="24"/>
        </w:rPr>
        <w:t>．</w:t>
      </w:r>
      <w:r>
        <w:rPr>
          <w:sz w:val="24"/>
        </w:rPr>
        <w:t>每一包装箱（袋）均应用不褪色油漆和显而易见的中文字样作出标记。标记内容应包括箱（件）号、装运标志、毛重、尺寸、净重、货物名称等信息，同时应按实际标有“小心轻放”、“此边向上”等提示信息。</w:t>
      </w:r>
    </w:p>
    <w:p>
      <w:pPr>
        <w:pStyle w:val="null3"/>
        <w:ind w:firstLine="480"/>
        <w:jc w:val="both"/>
      </w:pPr>
      <w:r>
        <w:rPr>
          <w:sz w:val="24"/>
        </w:rPr>
        <w:t>5</w:t>
      </w:r>
      <w:r>
        <w:rPr>
          <w:sz w:val="24"/>
        </w:rPr>
        <w:t>．</w:t>
      </w:r>
      <w:r>
        <w:rPr>
          <w:sz w:val="24"/>
        </w:rPr>
        <w:t>乙方按甲方要求对产品进行定量包装，按国家标准打包运输。</w:t>
      </w:r>
    </w:p>
    <w:p>
      <w:pPr>
        <w:pStyle w:val="null3"/>
        <w:ind w:firstLine="480"/>
        <w:jc w:val="both"/>
      </w:pPr>
      <w:r>
        <w:rPr>
          <w:sz w:val="24"/>
        </w:rPr>
        <w:t>6</w:t>
      </w:r>
      <w:r>
        <w:rPr>
          <w:sz w:val="24"/>
        </w:rPr>
        <w:t>．</w:t>
      </w:r>
      <w:r>
        <w:rPr>
          <w:sz w:val="24"/>
        </w:rPr>
        <w:t>乙方因产品包装不符合合同规定，必须返修或重新包装的，乙方应负责返修或重新包装，并承担所需费用。甲方不要求返修或重新包装而要求赔偿损失的，乙方应当偿付甲方该不合格包装物低于合格包装物的价值部分。因包装不符合规定造成货物毁损或灭失的，乙方应当负责赔偿。</w:t>
      </w:r>
    </w:p>
    <w:p>
      <w:pPr>
        <w:pStyle w:val="null3"/>
        <w:ind w:firstLine="482"/>
        <w:jc w:val="both"/>
      </w:pPr>
      <w:r>
        <w:rPr>
          <w:sz w:val="24"/>
          <w:b/>
        </w:rPr>
        <w:t>十一、检验与测试</w:t>
      </w:r>
    </w:p>
    <w:p>
      <w:pPr>
        <w:pStyle w:val="null3"/>
        <w:ind w:firstLine="480"/>
        <w:jc w:val="both"/>
      </w:pPr>
      <w:r>
        <w:rPr>
          <w:sz w:val="24"/>
        </w:rPr>
        <w:t>1</w:t>
      </w:r>
      <w:r>
        <w:rPr>
          <w:sz w:val="24"/>
        </w:rPr>
        <w:t>．</w:t>
      </w:r>
      <w:r>
        <w:rPr>
          <w:sz w:val="24"/>
        </w:rPr>
        <w:t>在每批次货物到达目的地后的三天内由甲方进行验收。（提供的产品必须是全新、合格的原厂正品，并对照公共安全行业标准《机动车号牌用反光膜》（GA666-2018）、《机动车号牌监制规范》（GA/T 1287-2016）、《中华人民共和国机动车号牌》（GA36-2018）以及《机动车号牌用烫印膜》（GA/T 1083-2013）的规范要求）。</w:t>
      </w:r>
    </w:p>
    <w:p>
      <w:pPr>
        <w:pStyle w:val="null3"/>
        <w:ind w:firstLine="480"/>
        <w:jc w:val="both"/>
      </w:pPr>
      <w:r>
        <w:rPr>
          <w:sz w:val="24"/>
        </w:rPr>
        <w:t>2</w:t>
      </w:r>
      <w:r>
        <w:rPr>
          <w:sz w:val="24"/>
        </w:rPr>
        <w:t>．</w:t>
      </w:r>
      <w:r>
        <w:rPr>
          <w:sz w:val="24"/>
        </w:rPr>
        <w:t>当甲方对产品质量提出质疑时，乙方应配合甲方按国家、行业有关的规定、规范进行问题整改。当甲方和乙方对产品质量问题未能达成一致时，甲方有权要求将该批产品送第三方官方检测机构进行检测，检测费用由乙方承担。验收不合格的，由乙方免费退换合格产品，退换费用由乙方承担。</w:t>
      </w:r>
    </w:p>
    <w:p>
      <w:pPr>
        <w:pStyle w:val="null3"/>
        <w:ind w:firstLine="480"/>
        <w:jc w:val="both"/>
      </w:pPr>
      <w:r>
        <w:rPr>
          <w:sz w:val="24"/>
        </w:rPr>
        <w:t>3</w:t>
      </w:r>
      <w:r>
        <w:rPr>
          <w:sz w:val="24"/>
        </w:rPr>
        <w:t>．</w:t>
      </w:r>
      <w:r>
        <w:rPr>
          <w:sz w:val="24"/>
        </w:rPr>
        <w:t>验收时如发现所交付的产品有短装、次品、损坏或其它不符合本合同规定之情形者，由用户单位或乙方作出现场记录。此现场记录可用作补充、缺失和更换产品的有效证据，因此产生的有关费用由乙方承担。</w:t>
      </w:r>
    </w:p>
    <w:p>
      <w:pPr>
        <w:pStyle w:val="null3"/>
        <w:ind w:firstLine="480"/>
        <w:jc w:val="both"/>
      </w:pPr>
      <w:r>
        <w:rPr>
          <w:sz w:val="24"/>
        </w:rPr>
        <w:t>4</w:t>
      </w:r>
      <w:r>
        <w:rPr>
          <w:sz w:val="24"/>
        </w:rPr>
        <w:t>．</w:t>
      </w:r>
      <w:r>
        <w:rPr>
          <w:sz w:val="24"/>
        </w:rPr>
        <w:t>乙方保证合同项下提供的产品和设备等不侵犯任何第三方的专利、商标或版权。否则，乙方须承担对第三方的专利或版权的侵权责任并承担因此而发生的所有费用。</w:t>
      </w:r>
    </w:p>
    <w:p>
      <w:pPr>
        <w:pStyle w:val="null3"/>
        <w:ind w:firstLine="482"/>
        <w:jc w:val="both"/>
      </w:pPr>
      <w:r>
        <w:rPr>
          <w:sz w:val="24"/>
          <w:b/>
        </w:rPr>
        <w:t>十二、质量保证与售后质保维修服务</w:t>
      </w:r>
    </w:p>
    <w:p>
      <w:pPr>
        <w:pStyle w:val="null3"/>
        <w:ind w:firstLine="480"/>
        <w:jc w:val="both"/>
      </w:pPr>
      <w:r>
        <w:rPr>
          <w:sz w:val="24"/>
        </w:rPr>
        <w:t>1</w:t>
      </w:r>
      <w:r>
        <w:rPr>
          <w:sz w:val="24"/>
        </w:rPr>
        <w:t>．</w:t>
      </w:r>
      <w:r>
        <w:rPr>
          <w:sz w:val="24"/>
        </w:rPr>
        <w:t>乙方需对供应的产品提供为期</w:t>
      </w:r>
      <w:r>
        <w:rPr>
          <w:sz w:val="24"/>
          <w:u w:val="single"/>
        </w:rPr>
        <w:t>6</w:t>
      </w:r>
      <w:r>
        <w:rPr>
          <w:sz w:val="24"/>
          <w:u w:val="single"/>
        </w:rPr>
        <w:t>年</w:t>
      </w:r>
      <w:r>
        <w:rPr>
          <w:sz w:val="24"/>
        </w:rPr>
        <w:t>以上的质保期，自合同签订生效之日起算。质保期间存在质量问题的，乙方对所供应产品实行三包（包换、包退、包赔偿)，</w:t>
      </w:r>
      <w:r>
        <w:rPr>
          <w:sz w:val="24"/>
          <w:u w:val="single"/>
        </w:rPr>
        <w:t>7</w:t>
      </w:r>
      <w:r>
        <w:rPr>
          <w:sz w:val="24"/>
        </w:rPr>
        <w:t>天内无条件退货；</w:t>
      </w:r>
      <w:r>
        <w:rPr>
          <w:sz w:val="24"/>
          <w:u w:val="single"/>
        </w:rPr>
        <w:t>15</w:t>
      </w:r>
      <w:r>
        <w:rPr>
          <w:sz w:val="24"/>
        </w:rPr>
        <w:t>天内出现质量问题直接更换。并承担相应的负面影响带来的后果。相同质量问题不得重复出现超过3次。更换、退货等费用由乙方承担。</w:t>
      </w:r>
    </w:p>
    <w:p>
      <w:pPr>
        <w:pStyle w:val="null3"/>
        <w:ind w:firstLine="480"/>
        <w:jc w:val="both"/>
      </w:pPr>
      <w:r>
        <w:rPr>
          <w:sz w:val="24"/>
        </w:rPr>
        <w:t>2</w:t>
      </w:r>
      <w:r>
        <w:rPr>
          <w:sz w:val="24"/>
        </w:rPr>
        <w:t>．</w:t>
      </w:r>
      <w:r>
        <w:rPr>
          <w:sz w:val="24"/>
        </w:rPr>
        <w:t>乙方应提供7×24小时的售后服务,如发生质量问题的，在接到甲方电话后，须在1天内到达现场确认，7天内完成退换货（退回的问题产品应在48小时内运走），所产生的费用由乙方承担。</w:t>
      </w:r>
    </w:p>
    <w:p>
      <w:pPr>
        <w:pStyle w:val="null3"/>
        <w:ind w:firstLine="480"/>
        <w:jc w:val="both"/>
      </w:pPr>
      <w:r>
        <w:rPr>
          <w:sz w:val="24"/>
        </w:rPr>
        <w:t>3</w:t>
      </w:r>
      <w:r>
        <w:rPr>
          <w:sz w:val="24"/>
        </w:rPr>
        <w:t>．</w:t>
      </w:r>
      <w:r>
        <w:rPr>
          <w:sz w:val="24"/>
        </w:rPr>
        <w:t>甲方在生产过程中因反光膜或烫印膜质量问题产生废牌的，由乙方按1:2比例进行补偿（即1片废牌补偿2片新能源小车反光膜）。废牌由甲方处理。该补偿服务包括了货物的仓储、运输、服务以及乙方进行补偿的必要开支等全部含税费用。补偿的数量以双方盘点（一季度一次）并签名确认的实际发生数目为准。</w:t>
      </w:r>
    </w:p>
    <w:p>
      <w:pPr>
        <w:pStyle w:val="null3"/>
        <w:ind w:firstLine="480"/>
        <w:jc w:val="both"/>
      </w:pPr>
      <w:r>
        <w:rPr>
          <w:sz w:val="24"/>
        </w:rPr>
        <w:t>4</w:t>
      </w:r>
      <w:r>
        <w:rPr>
          <w:sz w:val="24"/>
        </w:rPr>
        <w:t>．</w:t>
      </w:r>
      <w:r>
        <w:rPr>
          <w:sz w:val="24"/>
        </w:rPr>
        <w:t>乙方应及时跟进产品使用情况，每月至少回访一次。出现批量质量问题时，乙方应及时制定解决方案并在甲方要求时间内完成整改。</w:t>
      </w:r>
    </w:p>
    <w:p>
      <w:pPr>
        <w:pStyle w:val="null3"/>
        <w:ind w:firstLine="480"/>
        <w:jc w:val="both"/>
      </w:pPr>
      <w:r>
        <w:rPr>
          <w:sz w:val="24"/>
        </w:rPr>
        <w:t>5</w:t>
      </w:r>
      <w:r>
        <w:rPr>
          <w:sz w:val="24"/>
        </w:rPr>
        <w:t>．</w:t>
      </w:r>
      <w:r>
        <w:rPr>
          <w:sz w:val="24"/>
        </w:rPr>
        <w:t>乙方应提交售后服务方案，包括但不限于①售后服务方式及内容、②售后响应时间承诺、③对出现质量问题的产品退换货处理流程及解决措施④所投产品质保期、⑤售后服务机构及售后服务人员配置和资历、⑥质保期满后的维护内容及收费标准。</w:t>
      </w:r>
    </w:p>
    <w:p>
      <w:pPr>
        <w:pStyle w:val="null3"/>
        <w:ind w:firstLine="480"/>
        <w:jc w:val="both"/>
      </w:pPr>
      <w:r>
        <w:rPr>
          <w:sz w:val="24"/>
        </w:rPr>
        <w:t>6</w:t>
      </w:r>
      <w:r>
        <w:rPr>
          <w:sz w:val="24"/>
        </w:rPr>
        <w:t>．</w:t>
      </w:r>
      <w:r>
        <w:rPr>
          <w:sz w:val="24"/>
        </w:rPr>
        <w:t>乙方应提交应急处理方案，包括但不限于①出现批量质量问题时的解决方案、②提供的产品质量、规格、型号或品种等不符合合同约定，导致甲方生产效率和质量受影响或造成甲方停工等恶劣影响的解决方案等。</w:t>
      </w:r>
    </w:p>
    <w:p>
      <w:pPr>
        <w:pStyle w:val="null3"/>
        <w:ind w:firstLine="482"/>
        <w:jc w:val="both"/>
      </w:pPr>
      <w:r>
        <w:rPr>
          <w:sz w:val="24"/>
          <w:b/>
        </w:rPr>
        <w:t>十三、索赔</w:t>
      </w:r>
      <w:r>
        <w:rPr>
          <w:sz w:val="24"/>
        </w:rPr>
        <w:t>：</w:t>
      </w:r>
      <w:r>
        <w:rPr>
          <w:sz w:val="24"/>
          <w:b/>
        </w:rPr>
        <w:t>以第十五条违约责任为准。</w:t>
      </w:r>
    </w:p>
    <w:p>
      <w:pPr>
        <w:pStyle w:val="null3"/>
        <w:ind w:firstLine="480"/>
        <w:jc w:val="both"/>
      </w:pPr>
      <w:r>
        <w:rPr>
          <w:sz w:val="24"/>
        </w:rPr>
        <w:t>发生下列情况之一的，任何一方可向对方发出合同解除的通知，提前终止合同：</w:t>
      </w:r>
    </w:p>
    <w:p>
      <w:pPr>
        <w:pStyle w:val="null3"/>
        <w:ind w:firstLine="480"/>
        <w:jc w:val="both"/>
      </w:pPr>
      <w:r>
        <w:rPr>
          <w:sz w:val="24"/>
        </w:rPr>
        <w:t>1</w:t>
      </w:r>
      <w:r>
        <w:rPr>
          <w:sz w:val="24"/>
        </w:rPr>
        <w:t>．</w:t>
      </w:r>
      <w:r>
        <w:rPr>
          <w:sz w:val="24"/>
        </w:rPr>
        <w:t>对方严重违反本合同项下的其他义务；</w:t>
      </w:r>
    </w:p>
    <w:p>
      <w:pPr>
        <w:pStyle w:val="null3"/>
        <w:ind w:firstLine="480"/>
        <w:jc w:val="both"/>
      </w:pPr>
      <w:r>
        <w:rPr>
          <w:sz w:val="24"/>
        </w:rPr>
        <w:t>2</w:t>
      </w:r>
      <w:r>
        <w:rPr>
          <w:sz w:val="24"/>
        </w:rPr>
        <w:t>．</w:t>
      </w:r>
      <w:r>
        <w:rPr>
          <w:sz w:val="24"/>
        </w:rPr>
        <w:t>对方发生严重亏损，致使本合同无法继续履行的；</w:t>
      </w:r>
    </w:p>
    <w:p>
      <w:pPr>
        <w:pStyle w:val="null3"/>
        <w:ind w:firstLine="480"/>
        <w:jc w:val="both"/>
      </w:pPr>
      <w:r>
        <w:rPr>
          <w:sz w:val="24"/>
        </w:rPr>
        <w:t>3</w:t>
      </w:r>
      <w:r>
        <w:rPr>
          <w:sz w:val="24"/>
        </w:rPr>
        <w:t>．</w:t>
      </w:r>
      <w:r>
        <w:rPr>
          <w:sz w:val="24"/>
        </w:rPr>
        <w:t>因不可抗力致使本合同无法继续履行的。</w:t>
      </w:r>
    </w:p>
    <w:p>
      <w:pPr>
        <w:pStyle w:val="null3"/>
        <w:ind w:firstLine="482"/>
        <w:jc w:val="both"/>
      </w:pPr>
      <w:r>
        <w:rPr>
          <w:sz w:val="24"/>
          <w:b/>
        </w:rPr>
        <w:t>十四、不可抗力</w:t>
      </w:r>
    </w:p>
    <w:p>
      <w:pPr>
        <w:pStyle w:val="null3"/>
        <w:ind w:firstLine="480"/>
        <w:jc w:val="both"/>
      </w:pPr>
      <w:r>
        <w:rPr>
          <w:sz w:val="24"/>
        </w:rPr>
        <w:t>1</w:t>
      </w:r>
      <w:r>
        <w:rPr>
          <w:sz w:val="24"/>
        </w:rPr>
        <w:t>．</w:t>
      </w:r>
      <w:r>
        <w:rPr>
          <w:sz w:val="24"/>
        </w:rPr>
        <w:t>签约双方的任何一方由于不可抗力影响而不能履行合同时，履行合同的期限应予以延长，其延长的期限应相当于事件所影响的时间。</w:t>
      </w:r>
    </w:p>
    <w:p>
      <w:pPr>
        <w:pStyle w:val="null3"/>
        <w:ind w:firstLine="480"/>
        <w:jc w:val="both"/>
      </w:pPr>
      <w:r>
        <w:rPr>
          <w:sz w:val="24"/>
        </w:rPr>
        <w:t>2</w:t>
      </w:r>
      <w:r>
        <w:rPr>
          <w:sz w:val="24"/>
        </w:rPr>
        <w:t>．</w:t>
      </w:r>
      <w:r>
        <w:rPr>
          <w:sz w:val="24"/>
        </w:rPr>
        <w:t>受阻一方应在不可抗力事件发生后尽快通知对方，于事件发生后</w:t>
      </w:r>
      <w:r>
        <w:rPr>
          <w:sz w:val="24"/>
          <w:u w:val="single"/>
        </w:rPr>
        <w:t>30</w:t>
      </w:r>
      <w:r>
        <w:rPr>
          <w:sz w:val="24"/>
        </w:rPr>
        <w:t>天内将有关部门出具的证明文件交对方审阅确认。一旦不可抗力事件的影响持续</w:t>
      </w:r>
      <w:r>
        <w:rPr>
          <w:sz w:val="24"/>
          <w:u w:val="single"/>
        </w:rPr>
        <w:t>30</w:t>
      </w:r>
      <w:r>
        <w:rPr>
          <w:sz w:val="24"/>
        </w:rPr>
        <w:t>天以上，双方应通过友好协商方式在合理的时间内达成进一步履行合同的协议或解除合同。</w:t>
      </w:r>
    </w:p>
    <w:p>
      <w:pPr>
        <w:pStyle w:val="null3"/>
        <w:ind w:firstLine="482"/>
        <w:jc w:val="both"/>
      </w:pPr>
      <w:r>
        <w:rPr>
          <w:sz w:val="24"/>
          <w:b/>
        </w:rPr>
        <w:t>十五、违约责任</w:t>
      </w:r>
    </w:p>
    <w:p>
      <w:pPr>
        <w:pStyle w:val="null3"/>
        <w:ind w:firstLine="480"/>
        <w:jc w:val="both"/>
      </w:pPr>
      <w:r>
        <w:rPr>
          <w:sz w:val="24"/>
        </w:rPr>
        <w:t>1</w:t>
      </w:r>
      <w:r>
        <w:rPr>
          <w:sz w:val="24"/>
        </w:rPr>
        <w:t>．</w:t>
      </w:r>
      <w:r>
        <w:rPr>
          <w:sz w:val="24"/>
        </w:rPr>
        <w:t>甲方的违约责任</w:t>
      </w:r>
    </w:p>
    <w:p>
      <w:pPr>
        <w:pStyle w:val="null3"/>
        <w:ind w:firstLine="480"/>
        <w:jc w:val="both"/>
      </w:pPr>
      <w:r>
        <w:rPr>
          <w:sz w:val="24"/>
        </w:rPr>
        <w:t>1.1甲方逾期付款时，每逾期一日，应按应付未付款项的</w:t>
      </w:r>
      <w:r>
        <w:rPr>
          <w:sz w:val="24"/>
          <w:u w:val="single"/>
        </w:rPr>
        <w:t>0.3%</w:t>
      </w:r>
      <w:r>
        <w:rPr>
          <w:sz w:val="24"/>
        </w:rPr>
        <w:t>向乙方支付违约金，该项违约金最高不超过合同总价的</w:t>
      </w:r>
      <w:r>
        <w:rPr>
          <w:sz w:val="24"/>
          <w:u w:val="single"/>
        </w:rPr>
        <w:t>30%</w:t>
      </w:r>
      <w:r>
        <w:rPr>
          <w:sz w:val="24"/>
        </w:rPr>
        <w:t>。</w:t>
      </w:r>
    </w:p>
    <w:p>
      <w:pPr>
        <w:pStyle w:val="null3"/>
        <w:ind w:firstLine="480"/>
        <w:jc w:val="both"/>
      </w:pPr>
      <w:r>
        <w:rPr>
          <w:sz w:val="24"/>
        </w:rPr>
        <w:t>1.2若本合同标的物有明显时效性，解除合同将对乙方造成重大经济损失的，若甲方违约，乙方可要求解除合同；甲方已支付的款项将作为违约金，乙方将不予退还。</w:t>
      </w:r>
    </w:p>
    <w:p>
      <w:pPr>
        <w:pStyle w:val="null3"/>
        <w:ind w:firstLine="480"/>
        <w:jc w:val="both"/>
      </w:pPr>
      <w:r>
        <w:rPr>
          <w:sz w:val="24"/>
        </w:rPr>
        <w:t>2</w:t>
      </w:r>
      <w:r>
        <w:rPr>
          <w:sz w:val="24"/>
        </w:rPr>
        <w:t>．</w:t>
      </w:r>
      <w:r>
        <w:rPr>
          <w:sz w:val="24"/>
        </w:rPr>
        <w:t>乙方的违约责任</w:t>
      </w:r>
    </w:p>
    <w:p>
      <w:pPr>
        <w:pStyle w:val="null3"/>
        <w:ind w:firstLine="480"/>
        <w:jc w:val="both"/>
      </w:pPr>
      <w:r>
        <w:rPr>
          <w:sz w:val="24"/>
        </w:rPr>
        <w:t>2.1乙方未能按订单要求期限供应合格产品的（经过甲方质检合格的），每逾期一日，乙方应按合同总金额的</w:t>
      </w:r>
      <w:r>
        <w:rPr>
          <w:sz w:val="24"/>
          <w:u w:val="single"/>
        </w:rPr>
        <w:t>0.1%</w:t>
      </w:r>
      <w:r>
        <w:rPr>
          <w:sz w:val="24"/>
        </w:rPr>
        <w:t>向甲方支付违约金。逾期交付产品累计超过</w:t>
      </w:r>
      <w:r>
        <w:rPr>
          <w:sz w:val="24"/>
          <w:u w:val="single"/>
        </w:rPr>
        <w:t>7</w:t>
      </w:r>
      <w:r>
        <w:rPr>
          <w:sz w:val="24"/>
        </w:rPr>
        <w:t>天，甲方有权直接解除合同，解除合同的通知送达乙方后生效。甲方也可要求乙方承担违约责任后继续履行合同；若甲方要求解除合同，乙方应退还已收取的全部款项，并向甲方支付合同总金额的</w:t>
      </w:r>
      <w:r>
        <w:rPr>
          <w:sz w:val="24"/>
          <w:u w:val="single"/>
        </w:rPr>
        <w:t>30%</w:t>
      </w:r>
      <w:r>
        <w:rPr>
          <w:sz w:val="24"/>
        </w:rPr>
        <w:t>作为违约金。</w:t>
      </w:r>
    </w:p>
    <w:p>
      <w:pPr>
        <w:pStyle w:val="null3"/>
        <w:ind w:firstLine="480"/>
        <w:jc w:val="both"/>
      </w:pPr>
      <w:r>
        <w:rPr>
          <w:sz w:val="24"/>
        </w:rPr>
        <w:t>2.2违约金不足以弥补给甲方造成的损失，甲方还可根据实际损失要求乙方承担赔偿责任。实际损失由甲方指定的第三方评估机构评估，所需费用由乙方承担。</w:t>
      </w:r>
    </w:p>
    <w:p>
      <w:pPr>
        <w:pStyle w:val="null3"/>
        <w:ind w:firstLine="480"/>
        <w:jc w:val="both"/>
      </w:pPr>
      <w:r>
        <w:rPr>
          <w:sz w:val="24"/>
        </w:rPr>
        <w:t>2.3乙方提供的产品质量、规格、型号或品种等不符合合同约定，无法投入生产，造成甲方停工等恶劣影响的，甲方可要求乙方更换或退货，并要求乙方支付合同总金额的</w:t>
      </w:r>
      <w:r>
        <w:rPr>
          <w:sz w:val="24"/>
          <w:u w:val="single"/>
        </w:rPr>
        <w:t>30%</w:t>
      </w:r>
      <w:r>
        <w:rPr>
          <w:sz w:val="24"/>
        </w:rPr>
        <w:t>作为违约金，更换产品的退货时间计入双方约定的供货时间内，由此产生的费用由乙方承担。</w:t>
      </w:r>
    </w:p>
    <w:p>
      <w:pPr>
        <w:pStyle w:val="null3"/>
        <w:ind w:firstLine="480"/>
        <w:jc w:val="both"/>
      </w:pPr>
      <w:r>
        <w:rPr>
          <w:sz w:val="24"/>
        </w:rPr>
        <w:t>2.4乙方提供的服务或产品质量、规格、型号、品种等不符合合同约定，或者不能按合同的数量和时限等要求进行供应，导致甲方生产质量和效率受影响的，甲方根据问题大小可采取电话告知、座谈、约谈、发函警告（或整改通知书）、终止合同等方式进行处罚。每一次约谈或者发函警告（或整改通知书），甲方有权视问题严重性要求乙方缴纳合同总金额的</w:t>
      </w:r>
      <w:r>
        <w:rPr>
          <w:sz w:val="24"/>
          <w:u w:val="single"/>
        </w:rPr>
        <w:t>0.1%</w:t>
      </w:r>
      <w:r>
        <w:rPr>
          <w:sz w:val="24"/>
        </w:rPr>
        <w:t>作为违约金。</w:t>
      </w:r>
    </w:p>
    <w:p>
      <w:pPr>
        <w:pStyle w:val="null3"/>
        <w:ind w:firstLine="480"/>
        <w:jc w:val="left"/>
      </w:pPr>
      <w:r>
        <w:rPr>
          <w:sz w:val="24"/>
        </w:rPr>
        <w:t>2.5乙方无法提供本合同中的全部或部分产品，甲方可终止合同并通知乙方提供担保，如乙方未能在</w:t>
      </w:r>
      <w:r>
        <w:rPr>
          <w:sz w:val="24"/>
          <w:u w:val="single"/>
        </w:rPr>
        <w:t>5</w:t>
      </w:r>
      <w:r>
        <w:rPr>
          <w:sz w:val="24"/>
        </w:rPr>
        <w:t>个工作日内提供担保，甲方可提前解除合同。合同解除后，乙方应退还已收取的全部款项，并按合同总金额的</w:t>
      </w:r>
      <w:r>
        <w:rPr>
          <w:sz w:val="24"/>
          <w:u w:val="single"/>
        </w:rPr>
        <w:t>30%</w:t>
      </w:r>
      <w:r>
        <w:rPr>
          <w:sz w:val="24"/>
        </w:rPr>
        <w:t>向甲方支付违约金，若违约金不足弥补甲方因此所遭受的损失，甲方还可根据实际损失要求乙方承担赔偿责任。解除合同之后产生的拆卸、运输、仓储等后续费用和货物风险由乙方负责。</w:t>
      </w:r>
    </w:p>
    <w:p>
      <w:pPr>
        <w:pStyle w:val="null3"/>
        <w:ind w:firstLine="480"/>
        <w:jc w:val="both"/>
      </w:pPr>
      <w:r>
        <w:rPr>
          <w:sz w:val="24"/>
        </w:rPr>
        <w:t>2.6如出现终止合同处罚，在甲方向乙方作出终止合同的通知后，双方之间的采购合同自通知到达乙方之日终止。合同终止后，在甲方与第三人签订新的采购合同之前，为保障甲方生产工作的延续性，乙方承诺仍会按照原合同的要求，根据甲方的需求，向甲方临时供货，临时供货期间的费用双方依据原合同的标准据实结算。</w:t>
      </w:r>
    </w:p>
    <w:p>
      <w:pPr>
        <w:pStyle w:val="null3"/>
        <w:ind w:firstLine="480"/>
        <w:jc w:val="left"/>
      </w:pPr>
      <w:r>
        <w:rPr>
          <w:sz w:val="24"/>
        </w:rPr>
        <w:t>2.7如因乙方违约产生了包括但不限于违约金、仓储费、运输费等违约费用，甲方有权在未结款项中予以先行扣除，不足部分乙方应当予以补足。</w:t>
      </w:r>
    </w:p>
    <w:p>
      <w:pPr>
        <w:pStyle w:val="null3"/>
        <w:ind w:firstLine="482"/>
        <w:jc w:val="both"/>
      </w:pPr>
      <w:r>
        <w:rPr>
          <w:sz w:val="24"/>
          <w:b/>
        </w:rPr>
        <w:t>十六、合同的变更与协议解除</w:t>
      </w:r>
    </w:p>
    <w:p>
      <w:pPr>
        <w:pStyle w:val="null3"/>
        <w:ind w:firstLine="480"/>
        <w:jc w:val="both"/>
      </w:pPr>
      <w:r>
        <w:rPr>
          <w:sz w:val="24"/>
        </w:rPr>
        <w:t>1</w:t>
      </w:r>
      <w:r>
        <w:rPr>
          <w:sz w:val="24"/>
        </w:rPr>
        <w:t>．</w:t>
      </w:r>
      <w:r>
        <w:rPr>
          <w:sz w:val="24"/>
        </w:rPr>
        <w:t>一方需要变更合同的，应提前3个工作日书面通知对方，并取得对方同意且签订补充协议予以确认。</w:t>
      </w:r>
    </w:p>
    <w:p>
      <w:pPr>
        <w:pStyle w:val="null3"/>
        <w:ind w:firstLine="480"/>
        <w:jc w:val="both"/>
      </w:pPr>
      <w:r>
        <w:rPr>
          <w:sz w:val="24"/>
        </w:rPr>
        <w:t>2</w:t>
      </w:r>
      <w:r>
        <w:rPr>
          <w:sz w:val="24"/>
        </w:rPr>
        <w:t>．</w:t>
      </w:r>
      <w:r>
        <w:rPr>
          <w:sz w:val="24"/>
        </w:rPr>
        <w:t>一方提出解除合同的，应提前3个工作日书面通知对方，经双方确认后方可解除合同。但法律法规及第十五条规定可单方解除合同的情形，无需双方确认。</w:t>
      </w:r>
    </w:p>
    <w:p>
      <w:pPr>
        <w:pStyle w:val="null3"/>
        <w:ind w:firstLine="482"/>
        <w:jc w:val="both"/>
      </w:pPr>
      <w:r>
        <w:rPr>
          <w:sz w:val="24"/>
          <w:b/>
        </w:rPr>
        <w:t>十七、争议的解决</w:t>
      </w:r>
    </w:p>
    <w:p>
      <w:pPr>
        <w:pStyle w:val="null3"/>
        <w:ind w:firstLine="480"/>
        <w:jc w:val="both"/>
      </w:pPr>
      <w:r>
        <w:rPr>
          <w:sz w:val="24"/>
        </w:rPr>
        <w:t>1</w:t>
      </w:r>
      <w:r>
        <w:rPr>
          <w:sz w:val="24"/>
        </w:rPr>
        <w:t>．</w:t>
      </w:r>
      <w:r>
        <w:rPr>
          <w:sz w:val="24"/>
        </w:rPr>
        <w:t>凡与本合同有关的一切争议，甲乙双方应首先通过友好协商方式解决，如经协商后仍不能达成协议时，任何一方可以向甲方所在地人民法院提出诉讼。</w:t>
      </w:r>
    </w:p>
    <w:p>
      <w:pPr>
        <w:pStyle w:val="null3"/>
        <w:ind w:firstLine="480"/>
        <w:jc w:val="both"/>
      </w:pPr>
      <w:r>
        <w:rPr>
          <w:sz w:val="24"/>
        </w:rPr>
        <w:t>2</w:t>
      </w:r>
      <w:r>
        <w:rPr>
          <w:sz w:val="24"/>
        </w:rPr>
        <w:t>．</w:t>
      </w:r>
      <w:r>
        <w:rPr>
          <w:sz w:val="24"/>
        </w:rPr>
        <w:t>在法院审理期间，除提交法院审理的事项外，合同其他部分仍继续履行。</w:t>
      </w:r>
    </w:p>
    <w:p>
      <w:pPr>
        <w:pStyle w:val="null3"/>
        <w:ind w:firstLine="482"/>
        <w:jc w:val="both"/>
      </w:pPr>
      <w:r>
        <w:rPr>
          <w:sz w:val="24"/>
          <w:b/>
        </w:rPr>
        <w:t>十八、通知</w:t>
      </w:r>
    </w:p>
    <w:p>
      <w:pPr>
        <w:pStyle w:val="null3"/>
        <w:ind w:firstLine="480"/>
        <w:jc w:val="both"/>
      </w:pPr>
      <w:r>
        <w:rPr>
          <w:sz w:val="24"/>
        </w:rPr>
        <w:t>1</w:t>
      </w:r>
      <w:r>
        <w:rPr>
          <w:sz w:val="24"/>
        </w:rPr>
        <w:t>．</w:t>
      </w:r>
      <w:r>
        <w:rPr>
          <w:sz w:val="24"/>
        </w:rPr>
        <w:t>本合同一方给对方的通知应用书面形式送达对方指定的地址。</w:t>
      </w:r>
    </w:p>
    <w:p>
      <w:pPr>
        <w:pStyle w:val="null3"/>
        <w:ind w:firstLine="480"/>
        <w:jc w:val="both"/>
      </w:pPr>
      <w:r>
        <w:rPr>
          <w:sz w:val="24"/>
        </w:rPr>
        <w:t>2</w:t>
      </w:r>
      <w:r>
        <w:rPr>
          <w:sz w:val="24"/>
        </w:rPr>
        <w:t>．</w:t>
      </w:r>
      <w:r>
        <w:rPr>
          <w:sz w:val="24"/>
        </w:rPr>
        <w:t>送达日期或通知书注明的生效日期为生效日期，两者中以较迟的日期为准。</w:t>
      </w:r>
    </w:p>
    <w:p>
      <w:pPr>
        <w:pStyle w:val="null3"/>
        <w:ind w:firstLine="482"/>
        <w:jc w:val="both"/>
      </w:pPr>
      <w:r>
        <w:rPr>
          <w:sz w:val="24"/>
          <w:b/>
        </w:rPr>
        <w:t>十九、税费、其他杂费</w:t>
      </w:r>
    </w:p>
    <w:p>
      <w:pPr>
        <w:pStyle w:val="null3"/>
        <w:ind w:firstLine="480"/>
        <w:jc w:val="both"/>
      </w:pPr>
      <w:r>
        <w:rPr>
          <w:sz w:val="24"/>
        </w:rPr>
        <w:t>1</w:t>
      </w:r>
      <w:r>
        <w:rPr>
          <w:sz w:val="24"/>
        </w:rPr>
        <w:t>．</w:t>
      </w:r>
      <w:r>
        <w:rPr>
          <w:sz w:val="24"/>
        </w:rPr>
        <w:t>与合同有关的一切税费、其他杂费均已纳入货物价格中，甲方无需另行支付其他任何费用。</w:t>
      </w:r>
    </w:p>
    <w:p>
      <w:pPr>
        <w:pStyle w:val="null3"/>
        <w:ind w:firstLine="480"/>
        <w:jc w:val="both"/>
      </w:pPr>
      <w:r>
        <w:rPr>
          <w:sz w:val="24"/>
        </w:rPr>
        <w:t>2</w:t>
      </w:r>
      <w:r>
        <w:rPr>
          <w:sz w:val="24"/>
        </w:rPr>
        <w:t>．</w:t>
      </w:r>
      <w:r>
        <w:rPr>
          <w:sz w:val="24"/>
        </w:rPr>
        <w:t>对乙方或其雇员征收的与本合同有关的一切税费、其他杂费（包括但不限于货物和部件的进口关税，所有货物的国内增值税）均应由乙方承担。</w:t>
      </w:r>
    </w:p>
    <w:p>
      <w:pPr>
        <w:pStyle w:val="null3"/>
        <w:ind w:firstLine="480"/>
        <w:jc w:val="both"/>
      </w:pPr>
      <w:r>
        <w:rPr>
          <w:sz w:val="24"/>
        </w:rPr>
        <w:t>3</w:t>
      </w:r>
      <w:r>
        <w:rPr>
          <w:sz w:val="24"/>
        </w:rPr>
        <w:t>．</w:t>
      </w:r>
      <w:r>
        <w:rPr>
          <w:sz w:val="24"/>
        </w:rPr>
        <w:t>在中国境外发生的与本合同履行有关的一切税费均应由乙方承担。</w:t>
      </w:r>
    </w:p>
    <w:p>
      <w:pPr>
        <w:pStyle w:val="null3"/>
        <w:ind w:firstLine="482"/>
        <w:jc w:val="both"/>
      </w:pPr>
      <w:r>
        <w:rPr>
          <w:sz w:val="24"/>
          <w:b/>
        </w:rPr>
        <w:t>二十、其他</w:t>
      </w:r>
    </w:p>
    <w:p>
      <w:pPr>
        <w:pStyle w:val="null3"/>
        <w:ind w:firstLine="480"/>
        <w:jc w:val="both"/>
      </w:pPr>
      <w:r>
        <w:rPr>
          <w:sz w:val="24"/>
        </w:rPr>
        <w:t>1</w:t>
      </w:r>
      <w:r>
        <w:rPr>
          <w:sz w:val="24"/>
        </w:rPr>
        <w:t>．</w:t>
      </w:r>
      <w:r>
        <w:rPr>
          <w:sz w:val="24"/>
        </w:rPr>
        <w:t>投标文件、招标文件及本合同之所有附件均为本合同的有效组成部分，与本合同具有同样法律效力，解释的顺序以文件生成时间在后的为准。</w:t>
      </w:r>
    </w:p>
    <w:p>
      <w:pPr>
        <w:pStyle w:val="null3"/>
        <w:ind w:firstLine="480"/>
        <w:jc w:val="both"/>
      </w:pPr>
      <w:r>
        <w:rPr>
          <w:sz w:val="24"/>
        </w:rPr>
        <w:t>2</w:t>
      </w:r>
      <w:r>
        <w:rPr>
          <w:sz w:val="24"/>
        </w:rPr>
        <w:t>．</w:t>
      </w:r>
      <w:r>
        <w:rPr>
          <w:sz w:val="24"/>
        </w:rPr>
        <w:t>本合同经双方授权代表签字并加盖合同专用章或公章之日起生效，合同生效日期以最后一个签字日为准(若甲方原采购合同未到合同约定终止日期，则此合同待甲方原合同终止之日起生效)。</w:t>
      </w:r>
    </w:p>
    <w:p>
      <w:pPr>
        <w:pStyle w:val="null3"/>
        <w:ind w:firstLine="480"/>
        <w:jc w:val="both"/>
      </w:pPr>
      <w:r>
        <w:rPr>
          <w:sz w:val="24"/>
        </w:rPr>
        <w:t>3</w:t>
      </w:r>
      <w:r>
        <w:rPr>
          <w:sz w:val="24"/>
        </w:rPr>
        <w:t>．</w:t>
      </w:r>
      <w:r>
        <w:rPr>
          <w:sz w:val="24"/>
        </w:rPr>
        <w:t>除甲方事先以书面形式确认同意外，乙方不得部分或全部转让其应履行的合同项下的义务。</w:t>
      </w:r>
    </w:p>
    <w:p>
      <w:pPr>
        <w:pStyle w:val="null3"/>
        <w:ind w:firstLine="480"/>
        <w:jc w:val="both"/>
      </w:pPr>
      <w:r>
        <w:rPr>
          <w:sz w:val="24"/>
        </w:rPr>
        <w:t>4</w:t>
      </w:r>
      <w:r>
        <w:rPr>
          <w:sz w:val="24"/>
        </w:rPr>
        <w:t>．</w:t>
      </w:r>
      <w:r>
        <w:rPr>
          <w:sz w:val="24"/>
        </w:rPr>
        <w:t>乙方确认：乙方投标报价时已充分考虑到了货物市场价格上涨的空间，合同执行期间因货物成本上涨而导致亏损由乙方自行承担，乙方不得以货物成本上涨为由要求增加货款或者拒绝供货。</w:t>
      </w:r>
    </w:p>
    <w:p>
      <w:pPr>
        <w:pStyle w:val="null3"/>
        <w:ind w:firstLine="482"/>
        <w:jc w:val="both"/>
      </w:pPr>
      <w:r>
        <w:rPr>
          <w:sz w:val="24"/>
          <w:b/>
        </w:rPr>
        <w:t>二十一、</w:t>
      </w:r>
      <w:r>
        <w:rPr>
          <w:sz w:val="24"/>
        </w:rPr>
        <w:t>本合同书有效期</w:t>
      </w:r>
      <w:r>
        <w:rPr>
          <w:sz w:val="24"/>
          <w:u w:val="single"/>
        </w:rPr>
        <w:t>一年</w:t>
      </w:r>
      <w:r>
        <w:rPr>
          <w:sz w:val="24"/>
        </w:rPr>
        <w:t>。一式</w:t>
      </w:r>
      <w:r>
        <w:rPr>
          <w:sz w:val="24"/>
          <w:u w:val="single"/>
        </w:rPr>
        <w:t xml:space="preserve"> 陆</w:t>
      </w:r>
      <w:r>
        <w:rPr>
          <w:sz w:val="24"/>
        </w:rPr>
        <w:t>份，其中甲方执</w:t>
      </w:r>
      <w:r>
        <w:rPr>
          <w:sz w:val="24"/>
          <w:u w:val="single"/>
        </w:rPr>
        <w:t xml:space="preserve"> 肆 </w:t>
      </w:r>
      <w:r>
        <w:rPr>
          <w:sz w:val="24"/>
        </w:rPr>
        <w:t>份；乙方执</w:t>
      </w:r>
      <w:r>
        <w:rPr>
          <w:sz w:val="24"/>
          <w:u w:val="single"/>
        </w:rPr>
        <w:t xml:space="preserve"> 贰 </w:t>
      </w:r>
      <w:r>
        <w:rPr>
          <w:sz w:val="24"/>
        </w:rPr>
        <w:t>份。均具有同等的法律效力。</w:t>
      </w:r>
    </w:p>
    <w:p>
      <w:pPr>
        <w:pStyle w:val="null3"/>
        <w:ind w:firstLine="482"/>
        <w:jc w:val="both"/>
      </w:pPr>
      <w:r>
        <w:rPr>
          <w:sz w:val="24"/>
          <w:b/>
        </w:rPr>
        <w:t>二十二、</w:t>
      </w:r>
      <w:r>
        <w:rPr>
          <w:sz w:val="24"/>
        </w:rPr>
        <w:t>附件：</w:t>
      </w:r>
    </w:p>
    <w:p>
      <w:pPr>
        <w:pStyle w:val="null3"/>
        <w:ind w:firstLine="480"/>
        <w:jc w:val="both"/>
      </w:pPr>
      <w:r>
        <w:rPr>
          <w:sz w:val="24"/>
        </w:rPr>
        <w:t>1.分包意向协议书</w:t>
      </w:r>
    </w:p>
    <w:p>
      <w:pPr>
        <w:pStyle w:val="null3"/>
        <w:ind w:firstLine="480"/>
        <w:jc w:val="both"/>
      </w:pPr>
      <w:r>
        <w:rPr>
          <w:sz w:val="24"/>
        </w:rPr>
        <w:t>2.保密协议</w:t>
      </w:r>
    </w:p>
    <w:p>
      <w:pPr>
        <w:pStyle w:val="null3"/>
        <w:ind w:firstLine="480"/>
        <w:jc w:val="both"/>
      </w:pPr>
      <w:r>
        <w:rPr>
          <w:sz w:val="24"/>
        </w:rPr>
        <w:t>3.廉政公约</w:t>
      </w:r>
    </w:p>
    <w:p>
      <w:pPr>
        <w:pStyle w:val="null3"/>
        <w:ind w:firstLine="480"/>
        <w:jc w:val="both"/>
      </w:pPr>
      <w:r>
        <w:rPr/>
        <w:t xml:space="preserve"> </w:t>
      </w:r>
    </w:p>
    <w:p>
      <w:pPr>
        <w:pStyle w:val="null3"/>
        <w:ind w:firstLine="480"/>
        <w:jc w:val="both"/>
      </w:pPr>
      <w:r>
        <w:rPr/>
        <w:t xml:space="preserve"> </w:t>
      </w:r>
    </w:p>
    <w:p>
      <w:pPr>
        <w:pStyle w:val="null3"/>
        <w:ind w:firstLine="420"/>
        <w:jc w:val="both"/>
      </w:pPr>
      <w:r>
        <w:rPr>
          <w:sz w:val="24"/>
        </w:rPr>
        <w:t>甲方（盖章）：                                                     乙方（盖章）：</w:t>
      </w:r>
    </w:p>
    <w:p>
      <w:pPr>
        <w:pStyle w:val="null3"/>
        <w:ind w:firstLine="420"/>
        <w:jc w:val="both"/>
      </w:pPr>
      <w:r>
        <w:rPr>
          <w:sz w:val="24"/>
        </w:rPr>
        <w:t>地址：                                                                  地址：</w:t>
      </w:r>
    </w:p>
    <w:p>
      <w:pPr>
        <w:pStyle w:val="null3"/>
        <w:ind w:firstLine="420"/>
        <w:jc w:val="both"/>
      </w:pPr>
      <w:r>
        <w:rPr>
          <w:sz w:val="24"/>
        </w:rPr>
        <w:t>法定代表人：                                                        法定代表人：</w:t>
      </w:r>
    </w:p>
    <w:p>
      <w:pPr>
        <w:pStyle w:val="null3"/>
        <w:ind w:firstLine="420"/>
        <w:jc w:val="both"/>
      </w:pPr>
      <w:r>
        <w:rPr>
          <w:sz w:val="24"/>
        </w:rPr>
        <w:t>签约代表：                                                           签约代表：（注：需提供授权委托书）</w:t>
      </w:r>
    </w:p>
    <w:p>
      <w:pPr>
        <w:pStyle w:val="null3"/>
        <w:ind w:firstLine="420"/>
        <w:jc w:val="both"/>
      </w:pPr>
      <w:r>
        <w:rPr>
          <w:sz w:val="24"/>
        </w:rPr>
        <w:t>联系人：倪艳                                                       联系人：</w:t>
      </w:r>
    </w:p>
    <w:p>
      <w:pPr>
        <w:pStyle w:val="null3"/>
        <w:ind w:firstLine="420"/>
        <w:jc w:val="both"/>
      </w:pPr>
      <w:r>
        <w:rPr>
          <w:sz w:val="24"/>
        </w:rPr>
        <w:t>电话：020-83923160                                          电话：</w:t>
      </w:r>
    </w:p>
    <w:p>
      <w:pPr>
        <w:pStyle w:val="null3"/>
        <w:ind w:firstLine="420"/>
        <w:jc w:val="left"/>
      </w:pPr>
      <w:r>
        <w:rPr>
          <w:sz w:val="24"/>
        </w:rPr>
        <w:t>开户银行：</w:t>
      </w:r>
      <w:r>
        <w:rPr>
          <w:sz w:val="24"/>
          <w:color w:val="000000"/>
        </w:rPr>
        <w:t>平安银行股份有限公司</w:t>
      </w:r>
      <w:r>
        <w:rPr>
          <w:sz w:val="24"/>
          <w:color w:val="000000"/>
        </w:rPr>
        <w:t>广州分行营业部</w:t>
      </w:r>
      <w:r>
        <w:rPr>
          <w:sz w:val="24"/>
          <w:color w:val="000000"/>
        </w:rPr>
        <w:t xml:space="preserve">    </w:t>
      </w:r>
      <w:r>
        <w:rPr>
          <w:sz w:val="24"/>
        </w:rPr>
        <w:t>税务登记证号：</w:t>
      </w:r>
    </w:p>
    <w:p>
      <w:pPr>
        <w:pStyle w:val="null3"/>
        <w:ind w:firstLine="420"/>
        <w:jc w:val="left"/>
      </w:pPr>
      <w:r>
        <w:rPr>
          <w:sz w:val="24"/>
        </w:rPr>
        <w:t>开户银行账号：11010642691501                         工商登记号：</w:t>
      </w:r>
    </w:p>
    <w:p>
      <w:pPr>
        <w:pStyle w:val="null3"/>
        <w:ind w:firstLine="396"/>
        <w:jc w:val="both"/>
      </w:pPr>
      <w:r>
        <w:rPr>
          <w:sz w:val="24"/>
        </w:rPr>
        <w:t xml:space="preserve">                                                                            开户银行：</w:t>
      </w:r>
    </w:p>
    <w:p>
      <w:pPr>
        <w:pStyle w:val="null3"/>
        <w:ind w:firstLine="420"/>
        <w:jc w:val="both"/>
      </w:pPr>
      <w:r>
        <w:rPr>
          <w:sz w:val="24"/>
        </w:rPr>
        <w:t xml:space="preserve">                                                                            账号名称：</w:t>
      </w:r>
    </w:p>
    <w:p>
      <w:pPr>
        <w:pStyle w:val="null3"/>
        <w:ind w:firstLine="420"/>
        <w:jc w:val="both"/>
      </w:pPr>
      <w:r>
        <w:rPr>
          <w:sz w:val="24"/>
        </w:rPr>
        <w:t xml:space="preserve">                                                                            开户银行账号：</w:t>
      </w:r>
    </w:p>
    <w:p>
      <w:pPr>
        <w:pStyle w:val="null3"/>
        <w:ind w:firstLine="420"/>
        <w:jc w:val="both"/>
      </w:pPr>
      <w:r>
        <w:rPr>
          <w:sz w:val="24"/>
        </w:rPr>
        <w:t>签约时间：   年  月  日                                          签约时间：   年  月  日</w:t>
      </w:r>
    </w:p>
    <w:p>
      <w:pPr>
        <w:pStyle w:val="null3"/>
        <w:ind w:firstLine="420"/>
        <w:jc w:val="both"/>
      </w:pPr>
      <w:r>
        <w:rPr/>
        <w:t xml:space="preserve"> </w:t>
      </w:r>
    </w:p>
    <w:p>
      <w:pPr>
        <w:pStyle w:val="null3"/>
        <w:ind w:firstLine="420"/>
        <w:jc w:val="both"/>
      </w:pPr>
      <w:r>
        <w:rPr/>
        <w:t xml:space="preserve"> </w:t>
      </w:r>
    </w:p>
    <w:p>
      <w:pPr>
        <w:pStyle w:val="null3"/>
        <w:ind w:firstLine="420"/>
        <w:jc w:val="both"/>
      </w:pPr>
      <w:r>
        <w:rPr/>
        <w:t xml:space="preserve"> </w:t>
      </w:r>
    </w:p>
    <w:p>
      <w:pPr>
        <w:pStyle w:val="null3"/>
        <w:ind w:firstLine="420"/>
        <w:jc w:val="both"/>
      </w:pPr>
      <w:r>
        <w:rPr/>
        <w:t xml:space="preserve"> </w:t>
      </w:r>
    </w:p>
    <w:p>
      <w:pPr>
        <w:pStyle w:val="null3"/>
        <w:ind w:firstLine="420"/>
        <w:jc w:val="both"/>
      </w:pPr>
      <w:r>
        <w:rPr/>
        <w:t xml:space="preserve"> </w:t>
      </w:r>
    </w:p>
    <w:p>
      <w:pPr>
        <w:pStyle w:val="null3"/>
        <w:ind w:firstLine="420"/>
        <w:jc w:val="both"/>
      </w:pPr>
      <w:r>
        <w:rPr/>
        <w:t xml:space="preserve"> </w:t>
      </w:r>
    </w:p>
    <w:p>
      <w:pPr>
        <w:pStyle w:val="null3"/>
        <w:ind w:firstLine="420"/>
        <w:jc w:val="both"/>
      </w:pPr>
      <w:r>
        <w:rPr/>
        <w:t xml:space="preserve"> </w:t>
      </w:r>
    </w:p>
    <w:p>
      <w:pPr>
        <w:pStyle w:val="null3"/>
        <w:ind w:firstLine="420"/>
        <w:jc w:val="both"/>
      </w:pPr>
      <w:r>
        <w:rPr/>
        <w:t xml:space="preserve"> </w:t>
      </w:r>
    </w:p>
    <w:p>
      <w:pPr>
        <w:pStyle w:val="null3"/>
        <w:ind w:firstLine="420"/>
        <w:jc w:val="both"/>
      </w:pPr>
      <w:r>
        <w:rPr/>
        <w:t xml:space="preserve"> </w:t>
      </w:r>
    </w:p>
    <w:p>
      <w:pPr>
        <w:pStyle w:val="null3"/>
        <w:ind w:firstLine="420"/>
        <w:jc w:val="both"/>
      </w:pPr>
      <w:r>
        <w:rPr/>
        <w:t xml:space="preserve"> </w:t>
      </w:r>
    </w:p>
    <w:p>
      <w:pPr>
        <w:pStyle w:val="null3"/>
        <w:ind w:firstLine="420"/>
        <w:jc w:val="both"/>
      </w:pPr>
      <w:r>
        <w:rPr/>
        <w:t xml:space="preserve"> </w:t>
      </w:r>
    </w:p>
    <w:p>
      <w:pPr>
        <w:pStyle w:val="null3"/>
        <w:ind w:firstLine="420"/>
        <w:jc w:val="both"/>
      </w:pPr>
      <w:r>
        <w:rPr/>
        <w:t xml:space="preserve"> </w:t>
      </w:r>
    </w:p>
    <w:p>
      <w:pPr>
        <w:pStyle w:val="null3"/>
        <w:ind w:firstLine="420"/>
        <w:jc w:val="both"/>
      </w:pPr>
      <w:r>
        <w:rPr/>
        <w:t xml:space="preserve"> </w:t>
      </w:r>
    </w:p>
    <w:p>
      <w:pPr>
        <w:pStyle w:val="null3"/>
        <w:ind w:firstLine="420"/>
        <w:jc w:val="both"/>
      </w:pPr>
      <w:r>
        <w:rPr/>
        <w:t xml:space="preserve"> </w:t>
      </w:r>
    </w:p>
    <w:p>
      <w:pPr>
        <w:pStyle w:val="null3"/>
        <w:ind w:firstLine="420"/>
        <w:jc w:val="both"/>
      </w:pPr>
      <w:r>
        <w:rPr/>
        <w:t xml:space="preserve"> </w:t>
      </w:r>
    </w:p>
    <w:p>
      <w:pPr>
        <w:pStyle w:val="null3"/>
        <w:ind w:firstLine="420"/>
        <w:jc w:val="both"/>
      </w:pPr>
      <w:r>
        <w:rPr/>
        <w:t xml:space="preserve"> </w:t>
      </w:r>
    </w:p>
    <w:p>
      <w:pPr>
        <w:pStyle w:val="null3"/>
        <w:ind w:firstLine="420"/>
        <w:jc w:val="both"/>
      </w:pPr>
      <w:r>
        <w:rPr/>
        <w:t xml:space="preserve"> </w:t>
      </w:r>
    </w:p>
    <w:p>
      <w:pPr>
        <w:pStyle w:val="null3"/>
        <w:ind w:firstLine="420"/>
        <w:jc w:val="both"/>
      </w:pPr>
      <w:r>
        <w:rPr/>
        <w:t xml:space="preserve"> </w:t>
      </w:r>
    </w:p>
    <w:p>
      <w:pPr>
        <w:pStyle w:val="null3"/>
        <w:ind w:firstLine="420"/>
        <w:jc w:val="both"/>
      </w:pPr>
      <w:r>
        <w:rPr/>
        <w:t xml:space="preserve"> </w:t>
      </w:r>
    </w:p>
    <w:p>
      <w:pPr>
        <w:pStyle w:val="null3"/>
        <w:ind w:firstLine="420"/>
        <w:jc w:val="both"/>
      </w:pPr>
      <w:r>
        <w:rPr/>
        <w:t xml:space="preserve"> </w:t>
      </w:r>
    </w:p>
    <w:p>
      <w:pPr>
        <w:pStyle w:val="null3"/>
        <w:ind w:firstLine="420"/>
        <w:jc w:val="both"/>
      </w:pPr>
      <w:r>
        <w:rPr/>
        <w:t xml:space="preserve"> </w:t>
      </w:r>
    </w:p>
    <w:p>
      <w:pPr>
        <w:pStyle w:val="null3"/>
        <w:ind w:firstLine="420"/>
        <w:jc w:val="both"/>
      </w:pPr>
      <w:r>
        <w:rPr/>
        <w:t xml:space="preserve"> </w:t>
      </w:r>
    </w:p>
    <w:p>
      <w:pPr>
        <w:pStyle w:val="null3"/>
        <w:ind w:firstLine="420"/>
        <w:jc w:val="both"/>
      </w:pPr>
      <w:r>
        <w:rPr/>
        <w:t xml:space="preserve"> </w:t>
      </w:r>
    </w:p>
    <w:p>
      <w:pPr>
        <w:pStyle w:val="null3"/>
        <w:ind w:firstLine="420"/>
        <w:jc w:val="both"/>
      </w:pPr>
      <w:r>
        <w:rPr/>
        <w:t xml:space="preserve"> </w:t>
      </w:r>
    </w:p>
    <w:p>
      <w:pPr>
        <w:pStyle w:val="null3"/>
        <w:ind w:firstLine="420"/>
        <w:jc w:val="both"/>
      </w:pPr>
      <w:r>
        <w:rPr/>
        <w:t xml:space="preserve"> </w:t>
      </w:r>
    </w:p>
    <w:p>
      <w:pPr>
        <w:pStyle w:val="null3"/>
        <w:ind w:firstLine="420"/>
        <w:jc w:val="both"/>
      </w:pPr>
      <w:r>
        <w:rPr>
          <w:sz w:val="24"/>
        </w:rPr>
        <w:t>附件1：分包意向协议书</w:t>
      </w:r>
    </w:p>
    <w:p>
      <w:pPr>
        <w:pStyle w:val="null3"/>
        <w:ind w:firstLine="420"/>
        <w:jc w:val="both"/>
      </w:pPr>
      <w:r>
        <w:rPr>
          <w:sz w:val="24"/>
        </w:rPr>
        <w:t>附件2：保密协议</w:t>
      </w:r>
    </w:p>
    <w:p>
      <w:pPr>
        <w:pStyle w:val="null3"/>
        <w:ind w:firstLine="422"/>
        <w:jc w:val="center"/>
      </w:pPr>
      <w:r>
        <w:rPr>
          <w:sz w:val="30"/>
          <w:b/>
        </w:rPr>
        <w:t>保密协议</w:t>
      </w:r>
    </w:p>
    <w:p>
      <w:pPr>
        <w:pStyle w:val="null3"/>
        <w:ind w:firstLine="420"/>
        <w:jc w:val="both"/>
      </w:pPr>
      <w:r>
        <w:rPr>
          <w:sz w:val="24"/>
        </w:rPr>
        <w:t>甲方：</w:t>
      </w:r>
      <w:r>
        <w:rPr>
          <w:sz w:val="24"/>
          <w:u w:val="single"/>
        </w:rPr>
        <w:t>广东省特种证件制作中心</w:t>
      </w:r>
    </w:p>
    <w:p>
      <w:pPr>
        <w:pStyle w:val="null3"/>
        <w:ind w:firstLine="420"/>
        <w:jc w:val="both"/>
      </w:pPr>
      <w:r>
        <w:rPr>
          <w:sz w:val="24"/>
        </w:rPr>
        <w:t>乙方：</w:t>
      </w:r>
    </w:p>
    <w:p>
      <w:pPr>
        <w:pStyle w:val="null3"/>
        <w:ind w:firstLine="420"/>
        <w:jc w:val="both"/>
      </w:pPr>
      <w:r>
        <w:rPr>
          <w:sz w:val="24"/>
        </w:rPr>
        <w:t>乙方作为甲方</w:t>
      </w:r>
      <w:r>
        <w:rPr>
          <w:sz w:val="24"/>
          <w:u w:val="single"/>
        </w:rPr>
        <w:t>广东省特种证件制作中心2024-6新能源汽车号牌原材料采购项目（项目编号：GZCQC2400HG03007）</w:t>
      </w:r>
      <w:r>
        <w:rPr>
          <w:sz w:val="24"/>
        </w:rPr>
        <w:t>的供应商，应严格遵守国家保密法律、法规和相关规定，保守国家秘密和警务工作秘密，遵守以下协议：</w:t>
      </w:r>
    </w:p>
    <w:p>
      <w:pPr>
        <w:pStyle w:val="null3"/>
        <w:ind w:firstLine="420"/>
        <w:jc w:val="both"/>
      </w:pPr>
      <w:r>
        <w:rPr>
          <w:sz w:val="24"/>
        </w:rPr>
        <w:t>一、乙方在签订和履行本合同中知悉的甲方的全部信息均为甲方的秘密。</w:t>
      </w:r>
    </w:p>
    <w:p>
      <w:pPr>
        <w:pStyle w:val="null3"/>
        <w:ind w:firstLine="420"/>
        <w:jc w:val="both"/>
      </w:pPr>
      <w:r>
        <w:rPr>
          <w:sz w:val="24"/>
        </w:rPr>
        <w:t>二、严格遵守公安机关保密管理工作相关法律、法规，保守在工作中所涉密的秘密，不该说的秘密不说，不该知悉的秘密不问，不该看的秘密不看。</w:t>
      </w:r>
    </w:p>
    <w:p>
      <w:pPr>
        <w:pStyle w:val="null3"/>
        <w:ind w:firstLine="420"/>
        <w:jc w:val="both"/>
      </w:pPr>
      <w:r>
        <w:rPr>
          <w:sz w:val="24"/>
        </w:rPr>
        <w:t>三、乙方不得擅自向第三人公开、展示、泄露有关项目成果及相关的软件、源程序代码、文档资料、数据、内部信息、管理制度等内容。</w:t>
      </w:r>
    </w:p>
    <w:p>
      <w:pPr>
        <w:pStyle w:val="null3"/>
        <w:ind w:firstLine="420"/>
        <w:jc w:val="both"/>
      </w:pPr>
      <w:r>
        <w:rPr>
          <w:sz w:val="24"/>
        </w:rPr>
        <w:t>四、乙方不得将项目的数据或文档资料用于履行本合同之外的其他用途，即便提供给与履行本合同有关的人员，也应该保密并限于履行合同所需范围内使用。</w:t>
      </w:r>
    </w:p>
    <w:p>
      <w:pPr>
        <w:pStyle w:val="null3"/>
        <w:ind w:firstLine="420"/>
        <w:jc w:val="both"/>
      </w:pPr>
      <w:r>
        <w:rPr>
          <w:sz w:val="24"/>
        </w:rPr>
        <w:t>五、不得擅自记录、复制、拍摄、摘抄，收藏在工作中涉及的工作秘密和敏感信息；严禁将公安机关内部会议、谈话内容泄露给无关人员；严禁将工作中涉及的相关项目技术方案及实施规划透露给无关人员。</w:t>
      </w:r>
    </w:p>
    <w:p>
      <w:pPr>
        <w:pStyle w:val="null3"/>
        <w:ind w:firstLine="420"/>
        <w:jc w:val="both"/>
      </w:pPr>
      <w:r>
        <w:rPr>
          <w:sz w:val="24"/>
        </w:rPr>
        <w:t>六、不得将机关文件（包括内部发文、各类通知及会议记录等）的内容泄露给无关人员；到上级公安机关工作时，不得随便翻阅与工作无关的文件和资料。</w:t>
      </w:r>
    </w:p>
    <w:p>
      <w:pPr>
        <w:pStyle w:val="null3"/>
        <w:ind w:firstLine="420"/>
        <w:jc w:val="both"/>
      </w:pPr>
      <w:r>
        <w:rPr>
          <w:sz w:val="24"/>
        </w:rPr>
        <w:t>七、认真学习和遵守公安信息网使用相关规定，严禁“一机两用”，不得将从公安信息网上获得的警务工作相关信息透露给无关人员；严禁私自下载、拷贝计算机内的秘密和敏感内容、内部程序、口令、密钥等泄露给无关人员。</w:t>
      </w:r>
    </w:p>
    <w:p>
      <w:pPr>
        <w:pStyle w:val="null3"/>
        <w:ind w:firstLine="420"/>
        <w:jc w:val="both"/>
      </w:pPr>
      <w:r>
        <w:rPr>
          <w:sz w:val="24"/>
        </w:rPr>
        <w:t>八、严禁泄露公安机关科技研究、发明、装备器材及其技术资料等国家科学技术秘密和警务工作秘密；在对外科技交流中，不得泄露和发表涉及公安工作中国家秘密和警务工作秘密的技术文档和论文。</w:t>
      </w:r>
    </w:p>
    <w:p>
      <w:pPr>
        <w:pStyle w:val="null3"/>
        <w:ind w:firstLine="420"/>
        <w:jc w:val="both"/>
      </w:pPr>
      <w:r>
        <w:rPr>
          <w:sz w:val="24"/>
        </w:rPr>
        <w:t>九、不得带领无关人员进入涉密办公场所；如需会见亲友，就到单位门口会客室。</w:t>
      </w:r>
    </w:p>
    <w:p>
      <w:pPr>
        <w:pStyle w:val="null3"/>
        <w:ind w:firstLine="420"/>
        <w:jc w:val="both"/>
      </w:pPr>
      <w:r>
        <w:rPr>
          <w:sz w:val="24"/>
        </w:rPr>
        <w:t>十、合同终止后，乙方不得泄露所知悉的国家秘密和警务工作秘密。</w:t>
      </w:r>
    </w:p>
    <w:p>
      <w:pPr>
        <w:pStyle w:val="null3"/>
        <w:ind w:firstLine="420"/>
        <w:jc w:val="both"/>
      </w:pPr>
      <w:r>
        <w:rPr>
          <w:sz w:val="24"/>
        </w:rPr>
        <w:t>十一、无论本合同是否变更、解除、终止，本条款均持续、长期有效。</w:t>
      </w:r>
    </w:p>
    <w:p>
      <w:pPr>
        <w:pStyle w:val="null3"/>
        <w:ind w:firstLine="420"/>
        <w:jc w:val="both"/>
      </w:pPr>
      <w:r>
        <w:rPr>
          <w:sz w:val="24"/>
        </w:rPr>
        <w:t>乙方如未能遵守上述协议，有违反保密规定行为而造成泄密的，甲方可依据有关规定追究乙方的责任，并视情作出处理；构成犯罪的，将依法追究刑事责任。</w:t>
      </w:r>
    </w:p>
    <w:p>
      <w:pPr>
        <w:pStyle w:val="null3"/>
        <w:ind w:firstLine="420"/>
        <w:jc w:val="both"/>
      </w:pPr>
      <w:r>
        <w:rPr/>
        <w:t xml:space="preserve"> </w:t>
      </w:r>
    </w:p>
    <w:p>
      <w:pPr>
        <w:pStyle w:val="null3"/>
        <w:ind w:firstLine="420"/>
        <w:jc w:val="both"/>
      </w:pPr>
      <w:r>
        <w:rPr/>
        <w:t xml:space="preserve"> </w:t>
      </w:r>
    </w:p>
    <w:p>
      <w:pPr>
        <w:pStyle w:val="null3"/>
        <w:ind w:firstLine="420"/>
        <w:jc w:val="both"/>
      </w:pPr>
      <w:r>
        <w:rPr>
          <w:sz w:val="24"/>
        </w:rPr>
        <w:t>甲方：（盖章）                            乙方：（盖章）</w:t>
      </w:r>
    </w:p>
    <w:p>
      <w:pPr>
        <w:pStyle w:val="null3"/>
        <w:ind w:firstLine="420"/>
        <w:jc w:val="both"/>
      </w:pPr>
      <w:r>
        <w:rPr>
          <w:sz w:val="24"/>
        </w:rPr>
        <w:t>代表签字：                                   代表签字：</w:t>
      </w:r>
    </w:p>
    <w:p>
      <w:pPr>
        <w:pStyle w:val="null3"/>
        <w:ind w:firstLine="420"/>
        <w:jc w:val="both"/>
      </w:pPr>
      <w:r>
        <w:rPr/>
        <w:t xml:space="preserve"> </w:t>
      </w:r>
    </w:p>
    <w:p>
      <w:pPr>
        <w:pStyle w:val="null3"/>
        <w:ind w:firstLine="420"/>
        <w:jc w:val="both"/>
      </w:pPr>
      <w:r>
        <w:rPr/>
        <w:t xml:space="preserve"> </w:t>
      </w:r>
    </w:p>
    <w:p>
      <w:pPr>
        <w:pStyle w:val="null3"/>
        <w:ind w:firstLine="420"/>
        <w:jc w:val="both"/>
      </w:pPr>
      <w:r>
        <w:rPr/>
        <w:t xml:space="preserve"> </w:t>
      </w:r>
    </w:p>
    <w:p>
      <w:pPr>
        <w:pStyle w:val="null3"/>
        <w:ind w:firstLine="420"/>
        <w:jc w:val="both"/>
      </w:pPr>
      <w:r>
        <w:rPr/>
        <w:t xml:space="preserve"> </w:t>
      </w:r>
    </w:p>
    <w:p>
      <w:pPr>
        <w:pStyle w:val="null3"/>
        <w:ind w:firstLine="420"/>
        <w:jc w:val="both"/>
      </w:pPr>
      <w:r>
        <w:rPr/>
        <w:t xml:space="preserve"> </w:t>
      </w:r>
    </w:p>
    <w:p>
      <w:pPr>
        <w:pStyle w:val="null3"/>
        <w:ind w:firstLine="420"/>
        <w:jc w:val="both"/>
      </w:pPr>
      <w:r>
        <w:rPr/>
        <w:t xml:space="preserve"> </w:t>
      </w:r>
    </w:p>
    <w:p>
      <w:pPr>
        <w:pStyle w:val="null3"/>
        <w:ind w:firstLine="420"/>
        <w:jc w:val="both"/>
      </w:pPr>
      <w:r>
        <w:rPr/>
        <w:t xml:space="preserve"> </w:t>
      </w:r>
    </w:p>
    <w:p>
      <w:pPr>
        <w:pStyle w:val="null3"/>
        <w:ind w:firstLine="420"/>
        <w:jc w:val="left"/>
      </w:pPr>
      <w:r>
        <w:rPr/>
        <w:t xml:space="preserve"> </w:t>
      </w:r>
    </w:p>
    <w:p>
      <w:pPr>
        <w:pStyle w:val="null3"/>
        <w:ind w:firstLine="420"/>
        <w:jc w:val="left"/>
      </w:pPr>
      <w:r>
        <w:rPr>
          <w:sz w:val="24"/>
          <w:b/>
        </w:rPr>
        <w:t>附件3：廉政公约</w:t>
      </w:r>
    </w:p>
    <w:p>
      <w:pPr>
        <w:pStyle w:val="null3"/>
        <w:ind w:firstLine="422"/>
        <w:jc w:val="center"/>
      </w:pPr>
      <w:r>
        <w:rPr>
          <w:sz w:val="30"/>
          <w:b/>
        </w:rPr>
        <w:t>廉政公约</w:t>
      </w:r>
    </w:p>
    <w:p>
      <w:pPr>
        <w:pStyle w:val="null3"/>
        <w:ind w:firstLine="420"/>
        <w:jc w:val="both"/>
      </w:pPr>
      <w:r>
        <w:rPr>
          <w:sz w:val="24"/>
        </w:rPr>
        <w:t>甲方：</w:t>
      </w:r>
      <w:r>
        <w:rPr>
          <w:sz w:val="24"/>
          <w:u w:val="single"/>
        </w:rPr>
        <w:t>广东省特种证件制作中心</w:t>
      </w:r>
    </w:p>
    <w:p>
      <w:pPr>
        <w:pStyle w:val="null3"/>
        <w:ind w:firstLine="420"/>
        <w:jc w:val="both"/>
      </w:pPr>
      <w:r>
        <w:rPr>
          <w:sz w:val="24"/>
        </w:rPr>
        <w:t>乙方：</w:t>
      </w:r>
    </w:p>
    <w:p>
      <w:pPr>
        <w:pStyle w:val="null3"/>
        <w:ind w:firstLine="420"/>
        <w:jc w:val="both"/>
      </w:pPr>
      <w:r>
        <w:rPr>
          <w:sz w:val="24"/>
        </w:rPr>
        <w:t>为加强广东省特种证件制作中心采购过程的廉政管理，提高监督、制约水平，确保采购公平、公正、公开和透明，防止腐败现象的发生，甲乙双方经友好协商，现就双方在</w:t>
      </w:r>
      <w:r>
        <w:rPr>
          <w:sz w:val="24"/>
          <w:u w:val="single"/>
        </w:rPr>
        <w:t>广东省特种证件制作中心2024-6新能源汽车号牌原材料采购项目（项目编号：GZCQC2400HG03007）</w:t>
      </w:r>
      <w:r>
        <w:rPr>
          <w:sz w:val="24"/>
        </w:rPr>
        <w:t>实施过程的廉政管理签订如下公约：</w:t>
      </w:r>
    </w:p>
    <w:p>
      <w:pPr>
        <w:pStyle w:val="null3"/>
        <w:ind w:firstLine="420"/>
        <w:jc w:val="both"/>
      </w:pPr>
      <w:r>
        <w:rPr>
          <w:sz w:val="24"/>
        </w:rPr>
        <w:t>一、双方在该项目的采购过程中将严格遵守《中华人民共和国招标投标法》和严格参照《中华人民共和国政府采购法》以及采购（含建设工程招投标）的有关法律、行政法规等规定。</w:t>
      </w:r>
    </w:p>
    <w:p>
      <w:pPr>
        <w:pStyle w:val="null3"/>
        <w:ind w:firstLine="420"/>
        <w:jc w:val="both"/>
      </w:pPr>
      <w:r>
        <w:rPr>
          <w:sz w:val="24"/>
        </w:rPr>
        <w:t>二、任何单位和部门不得进行地方保护和行业垄断，禁止限制和排斥本地区、本系统外符合资质条件的单位参加广东省特种证件制作中心采购竞投活动。</w:t>
      </w:r>
    </w:p>
    <w:p>
      <w:pPr>
        <w:pStyle w:val="null3"/>
        <w:ind w:firstLine="420"/>
        <w:jc w:val="both"/>
      </w:pPr>
      <w:r>
        <w:rPr>
          <w:sz w:val="24"/>
        </w:rPr>
        <w:t>三、甲方遵从采购的有关管理规定制定发给投标方的采购项目的有关文件，严格按照规定完成发标、答疑、开标、评标和发出中标通知等工作；与乙方密切协作，遵从采购的有关规定、采购项目的招投标文件和中标通知，签订采购项目合同。</w:t>
      </w:r>
    </w:p>
    <w:p>
      <w:pPr>
        <w:pStyle w:val="null3"/>
        <w:ind w:firstLine="420"/>
        <w:jc w:val="both"/>
      </w:pPr>
      <w:r>
        <w:rPr>
          <w:sz w:val="24"/>
        </w:rPr>
        <w:t>四、甲方采购项目的采购过程将完全置于省公安厅监察部门的监督之下。按规定需向乙方公布的事项必须完全公布，不能向乙方透露的事项必须完全保密。</w:t>
      </w:r>
    </w:p>
    <w:p>
      <w:pPr>
        <w:pStyle w:val="null3"/>
        <w:ind w:firstLine="420"/>
        <w:jc w:val="both"/>
      </w:pPr>
      <w:r>
        <w:rPr>
          <w:sz w:val="24"/>
        </w:rPr>
        <w:t>五、甲方人员不得接受乙方的吃请馈赠，不得向乙方索要钱物。</w:t>
      </w:r>
    </w:p>
    <w:p>
      <w:pPr>
        <w:pStyle w:val="null3"/>
        <w:ind w:firstLine="420"/>
        <w:jc w:val="both"/>
      </w:pPr>
      <w:r>
        <w:rPr>
          <w:sz w:val="24"/>
        </w:rPr>
        <w:t xml:space="preserve">六、乙方遵从采购的有关管理规定并按照甲方招标文件要求完成投标的有关文件。  </w:t>
      </w:r>
    </w:p>
    <w:p>
      <w:pPr>
        <w:pStyle w:val="null3"/>
        <w:ind w:firstLine="420"/>
        <w:jc w:val="both"/>
      </w:pPr>
      <w:r>
        <w:rPr>
          <w:sz w:val="24"/>
        </w:rPr>
        <w:t>七、乙方不向甲方人员和评标委员会的组成人员以及竞争性谈判、单一来源谈判、询价采购小组的组成人员行贿或者采取其他不正当手段谋取中标或者成交。</w:t>
      </w:r>
    </w:p>
    <w:p>
      <w:pPr>
        <w:pStyle w:val="null3"/>
        <w:ind w:firstLine="420"/>
        <w:jc w:val="both"/>
      </w:pPr>
      <w:r>
        <w:rPr>
          <w:sz w:val="24"/>
        </w:rPr>
        <w:t>八、乙方不与参加投标的其他供应商串通进行投标且不弄虚作假骗取中标。</w:t>
      </w:r>
    </w:p>
    <w:p>
      <w:pPr>
        <w:pStyle w:val="null3"/>
        <w:ind w:firstLine="420"/>
        <w:jc w:val="both"/>
      </w:pPr>
      <w:r>
        <w:rPr>
          <w:sz w:val="24"/>
        </w:rPr>
        <w:t>九、甲乙双方在本采购项目的实施过程中违反采购有关法律和行政法规的，按有关规定予以处罚。</w:t>
      </w:r>
    </w:p>
    <w:p>
      <w:pPr>
        <w:pStyle w:val="null3"/>
        <w:ind w:firstLine="420"/>
        <w:jc w:val="both"/>
      </w:pPr>
      <w:r>
        <w:rPr>
          <w:sz w:val="24"/>
        </w:rPr>
        <w:t>十、本公约自双方签字盖章之日生效。</w:t>
      </w:r>
    </w:p>
    <w:p>
      <w:pPr>
        <w:pStyle w:val="null3"/>
        <w:ind w:firstLine="420"/>
        <w:jc w:val="both"/>
      </w:pPr>
      <w:r>
        <w:rPr/>
        <w:t xml:space="preserve"> </w:t>
      </w:r>
    </w:p>
    <w:p>
      <w:pPr>
        <w:pStyle w:val="null3"/>
        <w:ind w:firstLine="420"/>
        <w:jc w:val="both"/>
      </w:pPr>
      <w:r>
        <w:rPr/>
        <w:t xml:space="preserve"> </w:t>
      </w:r>
    </w:p>
    <w:p>
      <w:pPr>
        <w:pStyle w:val="null3"/>
        <w:ind w:firstLine="420"/>
        <w:jc w:val="both"/>
      </w:pPr>
      <w:r>
        <w:rPr>
          <w:sz w:val="24"/>
        </w:rPr>
        <w:t>甲方：</w:t>
      </w:r>
      <w:r>
        <w:rPr>
          <w:sz w:val="24"/>
          <w:u w:val="single"/>
        </w:rPr>
        <w:t>广东省特种证件制作中心</w:t>
      </w:r>
      <w:r>
        <w:rPr>
          <w:sz w:val="24"/>
        </w:rPr>
        <w:t xml:space="preserve">                      乙方：</w:t>
      </w:r>
    </w:p>
    <w:p>
      <w:pPr>
        <w:pStyle w:val="null3"/>
        <w:ind w:firstLine="420"/>
        <w:jc w:val="both"/>
      </w:pPr>
      <w:r>
        <w:rPr>
          <w:sz w:val="24"/>
        </w:rPr>
        <w:t>甲方代表（签章）：                                       乙方代表（签章）：</w:t>
      </w:r>
    </w:p>
    <w:p>
      <w:pPr>
        <w:pStyle w:val="null3"/>
        <w:ind w:firstLine="420"/>
        <w:jc w:val="both"/>
      </w:pPr>
      <w:r>
        <w:rPr>
          <w:sz w:val="24"/>
        </w:rPr>
        <w:t>日期：      年     月     日                                 日期：      年     月     日</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3.具有履行合同所必须的设备和专业技术能力的声明。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440001-2024-16782</w:t>
      </w:r>
    </w:p>
    <w:p>
      <w:pPr>
        <w:pStyle w:val="null3"/>
        <w:jc w:val="center"/>
        <w:outlineLvl w:val="3"/>
      </w:pPr>
      <w:r>
        <w:rPr>
          <w:sz w:val="24"/>
          <w:b/>
        </w:rPr>
        <w:t>采购项目编号：</w:t>
      </w:r>
      <w:r>
        <w:rPr>
          <w:sz w:val="24"/>
          <w:b/>
        </w:rPr>
        <w:t>GZCQC2400HG03007</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广州程启招标代理有限公司</w:t>
      </w:r>
    </w:p>
    <w:p>
      <w:pPr>
        <w:pStyle w:val="null3"/>
        <w:ind w:firstLine="480"/>
      </w:pPr>
      <w:r>
        <w:rPr/>
        <w:t xml:space="preserve"> 你方组织的</w:t>
      </w:r>
      <w:r>
        <w:rPr>
          <w:u w:val="single"/>
        </w:rPr>
        <w:t>“</w:t>
      </w:r>
      <w:r>
        <w:rPr>
          <w:u w:val="single"/>
        </w:rPr>
        <w:t>广东省特种证件制作中心2024-6新能源汽车号牌原材料采购项目</w:t>
      </w:r>
      <w:r>
        <w:rPr>
          <w:u w:val="single"/>
        </w:rPr>
        <w:t>”</w:t>
      </w:r>
      <w:r>
        <w:rPr/>
        <w:t>项目的招标[采购项目编号为：</w:t>
      </w:r>
      <w:r>
        <w:rPr>
          <w:u w:val="single"/>
        </w:rPr>
        <w:t>GZCQC2400HG03007</w:t>
      </w:r>
      <w:r>
        <w:rPr/>
        <w:t>]，我方愿参与投标。</w:t>
      </w:r>
    </w:p>
    <w:p>
      <w:pPr>
        <w:pStyle w:val="null3"/>
        <w:ind w:firstLine="480"/>
      </w:pPr>
      <w:r>
        <w:rPr/>
        <w:t>我方确认收到贵方提供的</w:t>
      </w:r>
      <w:r>
        <w:rPr>
          <w:u w:val="single"/>
        </w:rPr>
        <w:t>“</w:t>
      </w:r>
      <w:r>
        <w:rPr>
          <w:u w:val="single"/>
        </w:rPr>
        <w:t>广东省特种证件制作中心2024-6新能源汽车号牌原材料采购项目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（三）我方明白并同意，在规定的开标日之后，投标有效期之内撤回投标或中标后不按规定与采购人签订合同或不提交履约保证金,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（六）我方如果中标，将保证履行招标文件及其澄清、修改文件（如果有）中的全部责任和义务，按质、按量、按期完成《采购需求》及《合同书》中的全部任务。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（十三）我方承诺遵守《中华人民共和国劳动合同法》有关规定和《中华人民共和国妇女权益保障法》中关于“劳动和社会保障权益”的有关要求。</w:t>
      </w:r>
    </w:p>
    <w:p>
      <w:pPr>
        <w:pStyle w:val="null3"/>
        <w:ind w:firstLine="480"/>
      </w:pPr>
      <w:r>
        <w:rPr/>
        <w:t xml:space="preserve"> （十四）我方具备《中华人民共和国政府采购法》第二十二条规定的条件，承诺如下：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（十五）我方对在本函及投标文件中所作的所有承诺承担法律责任。</w:t>
      </w:r>
    </w:p>
    <w:p>
      <w:pPr>
        <w:pStyle w:val="null3"/>
        <w:ind w:firstLine="480"/>
      </w:pPr>
      <w:r>
        <w:rPr/>
        <w:t xml:space="preserve"> （十六）所有与本招标有关的函件请发往下列地址：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服务期限</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广州程启招标代理有限公司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广东省特种证件制作中心2024-6新能源汽车号牌原材料采购项目</w:t>
      </w:r>
      <w:r>
        <w:rPr/>
        <w:t>”项目采购[采购项目编号为</w:t>
      </w:r>
      <w:r>
        <w:rPr/>
        <w:t>GZCQC2400HG03007</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广东省特种证件制作中心</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广州程启招标代理有限公司</w:t>
      </w:r>
    </w:p>
    <w:p>
      <w:pPr>
        <w:pStyle w:val="null3"/>
        <w:ind w:firstLine="480"/>
      </w:pPr>
      <w:r>
        <w:rPr/>
        <w:t xml:space="preserve"> 如果我方在贵采购代理机构组织的</w:t>
      </w:r>
      <w:r>
        <w:rPr/>
        <w:t>广东省特种证件制作中心2024-6新能源汽车号牌原材料采购项目</w:t>
      </w:r>
      <w:r>
        <w:rPr/>
        <w:t>招标中获中标（采购项目编号：</w:t>
      </w:r>
      <w:r>
        <w:rPr/>
        <w:t>GZCQC2400HG03007</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广州程启招标代理有限公司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广州程启招标代理有限公司</w:t>
      </w:r>
    </w:p>
    <w:p>
      <w:pPr>
        <w:pStyle w:val="null3"/>
        <w:ind w:firstLine="480"/>
      </w:pPr>
      <w:r>
        <w:rPr/>
        <w:t>我单位已登记并准备参与“</w:t>
      </w:r>
      <w:r>
        <w:rPr/>
        <w:t>广东省特种证件制作中心2024-6新能源汽车号牌原材料采购项目</w:t>
      </w:r>
      <w:r>
        <w:rPr/>
        <w:t>”项目（采购项目编号：</w:t>
      </w:r>
      <w:r>
        <w:rPr/>
        <w:t>GZCQC2400HG03007</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